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8F" w:rsidRPr="00370B8F" w:rsidRDefault="00370B8F" w:rsidP="00370B8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70B8F">
        <w:rPr>
          <w:rFonts w:ascii="Arial" w:hAnsi="Arial" w:cs="Arial"/>
          <w:b/>
          <w:sz w:val="24"/>
          <w:szCs w:val="24"/>
        </w:rPr>
        <w:t>Indirect Cost Definition</w:t>
      </w:r>
    </w:p>
    <w:p w:rsidR="00A76552" w:rsidRPr="00370B8F" w:rsidRDefault="00370B8F" w:rsidP="00370B8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indirect cost is any cost not directly identified with a single, final objective but with two or more final cost objectives.  In simpler terms, indirect costs are those costs not readily identified with a specific project or organizational activity but incurred for the joint benefit of both projects or activities.  Indirect costs include overhead expenses (rent and utilities) and general administrative expenses.</w:t>
      </w:r>
      <w:bookmarkStart w:id="0" w:name="_GoBack"/>
      <w:bookmarkEnd w:id="0"/>
    </w:p>
    <w:sectPr w:rsidR="00A76552" w:rsidRPr="0037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8F"/>
    <w:rsid w:val="00370B8F"/>
    <w:rsid w:val="00A76552"/>
    <w:rsid w:val="00D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D158"/>
  <w15:chartTrackingRefBased/>
  <w15:docId w15:val="{BE7BC0C5-729D-4F61-9690-E22529B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Philip C</dc:creator>
  <cp:keywords/>
  <dc:description/>
  <cp:lastModifiedBy>Woodward, Philip C</cp:lastModifiedBy>
  <cp:revision>1</cp:revision>
  <dcterms:created xsi:type="dcterms:W3CDTF">2018-05-29T21:20:00Z</dcterms:created>
  <dcterms:modified xsi:type="dcterms:W3CDTF">2018-05-29T21:23:00Z</dcterms:modified>
</cp:coreProperties>
</file>