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51BB" w14:textId="098CE38F" w:rsidR="0086756F" w:rsidRPr="0090764E" w:rsidRDefault="00B61B13">
      <w:pPr>
        <w:spacing w:before="120"/>
        <w:ind w:left="-90" w:right="-268"/>
        <w:rPr>
          <w:rFonts w:ascii="Montserrat" w:eastAsia="Montserrat" w:hAnsi="Montserrat" w:cs="Montserrat"/>
          <w:b/>
          <w:sz w:val="36"/>
          <w:szCs w:val="36"/>
        </w:rPr>
      </w:pPr>
      <w:r w:rsidRPr="0090764E">
        <w:rPr>
          <w:rFonts w:ascii="Montserrat" w:eastAsia="Montserrat" w:hAnsi="Montserrat" w:cs="Montserrat"/>
          <w:b/>
          <w:color w:val="81B900"/>
          <w:sz w:val="36"/>
          <w:szCs w:val="36"/>
        </w:rPr>
        <w:t>FUTURE INVESTMENT PROPOSAL 5/12/2022</w:t>
      </w:r>
    </w:p>
    <w:p w14:paraId="23616E58" w14:textId="0022C795" w:rsidR="0086756F" w:rsidRDefault="00B61B13">
      <w:pPr>
        <w:spacing w:before="120" w:line="410" w:lineRule="auto"/>
        <w:ind w:left="-90" w:right="44"/>
        <w:rPr>
          <w:rFonts w:ascii="Gotham Light" w:eastAsia="Gotham Light" w:hAnsi="Gotham Light" w:cs="Gotham Light"/>
          <w:color w:val="0C77BD"/>
          <w:sz w:val="8"/>
          <w:szCs w:val="8"/>
        </w:rPr>
      </w:pPr>
      <w:r>
        <w:rPr>
          <w:noProof/>
        </w:rPr>
        <mc:AlternateContent>
          <mc:Choice Requires="wpg">
            <w:drawing>
              <wp:anchor distT="0" distB="0" distL="114300" distR="114300" simplePos="0" relativeHeight="251658240" behindDoc="0" locked="0" layoutInCell="1" hidden="0" allowOverlap="1" wp14:anchorId="14DA55C0" wp14:editId="67CDFC43">
                <wp:simplePos x="0" y="0"/>
                <wp:positionH relativeFrom="column">
                  <wp:posOffset>-25399</wp:posOffset>
                </wp:positionH>
                <wp:positionV relativeFrom="paragraph">
                  <wp:posOffset>25400</wp:posOffset>
                </wp:positionV>
                <wp:extent cx="3629025" cy="85725"/>
                <wp:effectExtent l="0" t="0" r="0" b="0"/>
                <wp:wrapNone/>
                <wp:docPr id="13" name="Group 13"/>
                <wp:cNvGraphicFramePr/>
                <a:graphic xmlns:a="http://schemas.openxmlformats.org/drawingml/2006/main">
                  <a:graphicData uri="http://schemas.microsoft.com/office/word/2010/wordprocessingGroup">
                    <wpg:wgp>
                      <wpg:cNvGrpSpPr/>
                      <wpg:grpSpPr>
                        <a:xfrm>
                          <a:off x="0" y="0"/>
                          <a:ext cx="3629025" cy="85725"/>
                          <a:chOff x="3531488" y="3737138"/>
                          <a:chExt cx="3629025" cy="85725"/>
                        </a:xfrm>
                      </wpg:grpSpPr>
                      <wpg:grpSp>
                        <wpg:cNvPr id="1" name="Group 1"/>
                        <wpg:cNvGrpSpPr/>
                        <wpg:grpSpPr>
                          <a:xfrm rot="10800000" flipH="1">
                            <a:off x="3531488" y="3737138"/>
                            <a:ext cx="3629025" cy="85725"/>
                            <a:chOff x="899" y="694"/>
                            <a:chExt cx="5690" cy="2"/>
                          </a:xfrm>
                        </wpg:grpSpPr>
                        <wps:wsp>
                          <wps:cNvPr id="2" name="Rectangle 2"/>
                          <wps:cNvSpPr/>
                          <wps:spPr>
                            <a:xfrm>
                              <a:off x="899" y="694"/>
                              <a:ext cx="5675" cy="0"/>
                            </a:xfrm>
                            <a:prstGeom prst="rect">
                              <a:avLst/>
                            </a:prstGeom>
                            <a:noFill/>
                            <a:ln>
                              <a:noFill/>
                            </a:ln>
                          </wps:spPr>
                          <wps:txbx>
                            <w:txbxContent>
                              <w:p w14:paraId="5D63B5EB" w14:textId="77777777" w:rsidR="0086756F" w:rsidRDefault="0086756F">
                                <w:pPr>
                                  <w:textDirection w:val="btLr"/>
                                </w:pPr>
                              </w:p>
                            </w:txbxContent>
                          </wps:txbx>
                          <wps:bodyPr spcFirstLastPara="1" wrap="square" lIns="91425" tIns="91425" rIns="91425" bIns="91425" anchor="ctr" anchorCtr="0">
                            <a:noAutofit/>
                          </wps:bodyPr>
                        </wps:wsp>
                        <wps:wsp>
                          <wps:cNvPr id="3" name="Freeform 3"/>
                          <wps:cNvSpPr/>
                          <wps:spPr>
                            <a:xfrm>
                              <a:off x="899" y="694"/>
                              <a:ext cx="5690" cy="2"/>
                            </a:xfrm>
                            <a:custGeom>
                              <a:avLst/>
                              <a:gdLst/>
                              <a:ahLst/>
                              <a:cxnLst/>
                              <a:rect l="l" t="t" r="r" b="b"/>
                              <a:pathLst>
                                <a:path w="5690" h="120000" extrusionOk="0">
                                  <a:moveTo>
                                    <a:pt x="0" y="0"/>
                                  </a:moveTo>
                                  <a:lnTo>
                                    <a:pt x="5689" y="0"/>
                                  </a:lnTo>
                                </a:path>
                              </a:pathLst>
                            </a:custGeom>
                            <a:noFill/>
                            <a:ln w="25400" cap="flat" cmpd="sng">
                              <a:solidFill>
                                <a:srgbClr val="81B9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4DA55C0" id="Group 13" o:spid="_x0000_s1026" style="position:absolute;left:0;text-align:left;margin-left:-2pt;margin-top:2pt;width:285.75pt;height:6.75pt;z-index:251658240" coordorigin="35314,37371" coordsize="3629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">
                <v:group id="Group 1" o:spid="_x0000_s1027" style="position:absolute;left:35314;top:37371;width:36291;height:857;rotation:180;flip:x" coordorigin="899,694" coordsize="5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">
                  <v:rect id="Rectangle 2" o:spid="_x0000_s1028" style="position:absolute;left:899;top:694;width:5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D63B5EB" w14:textId="77777777" w:rsidR="0086756F" w:rsidRDefault="0086756F">
                          <w:pPr>
                            <w:textDirection w:val="btLr"/>
                          </w:pPr>
                        </w:p>
                      </w:txbxContent>
                    </v:textbox>
                  </v:rect>
                  <v:shape id="Freeform 3" o:spid="_x0000_s1029" style="position:absolute;left:899;top:694;width:5690;height:2;visibility:visible;mso-wrap-style:square;v-text-anchor:middle" coordsize="569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" path="m,l5689,e" filled="f" strokecolor="#81b900" strokeweight="2pt">
                    <v:path arrowok="t" o:extrusionok="f"/>
                  </v:shape>
                </v:group>
              </v:group>
            </w:pict>
          </mc:Fallback>
        </mc:AlternateContent>
      </w:r>
    </w:p>
    <w:p w14:paraId="6BD2DFA9" w14:textId="0D2A2722" w:rsidR="0086756F" w:rsidRDefault="00B61B13" w:rsidP="001C5021">
      <w:pPr>
        <w:spacing w:before="120" w:line="410" w:lineRule="auto"/>
        <w:ind w:left="-90" w:right="44"/>
        <w:rPr>
          <w:rFonts w:ascii="Montserrat" w:eastAsia="Montserrat" w:hAnsi="Montserrat" w:cs="Montserrat"/>
          <w:b/>
          <w:color w:val="0C77BD"/>
          <w:sz w:val="36"/>
          <w:szCs w:val="36"/>
        </w:rPr>
      </w:pPr>
      <w:r>
        <w:rPr>
          <w:rFonts w:ascii="Montserrat" w:eastAsia="Montserrat" w:hAnsi="Montserrat" w:cs="Montserrat"/>
          <w:b/>
          <w:color w:val="0C77BD"/>
          <w:sz w:val="36"/>
          <w:szCs w:val="36"/>
        </w:rPr>
        <w:t xml:space="preserve">Care Extender White Paper </w:t>
      </w:r>
    </w:p>
    <w:p w14:paraId="628CE51A" w14:textId="25335A86" w:rsidR="001C5021" w:rsidRPr="0090764E" w:rsidRDefault="001C5021" w:rsidP="001C5021">
      <w:pPr>
        <w:spacing w:before="120" w:line="410" w:lineRule="auto"/>
        <w:ind w:left="-90" w:right="44"/>
        <w:rPr>
          <w:rFonts w:ascii="Montserrat" w:eastAsia="Montserrat" w:hAnsi="Montserrat" w:cs="Montserrat"/>
          <w:b/>
          <w:color w:val="0C77BD"/>
          <w:sz w:val="24"/>
          <w:szCs w:val="24"/>
        </w:rPr>
      </w:pPr>
      <w:r w:rsidRPr="0090764E">
        <w:rPr>
          <w:noProof/>
          <w:sz w:val="24"/>
          <w:szCs w:val="24"/>
        </w:rPr>
        <mc:AlternateContent>
          <mc:Choice Requires="wps">
            <w:drawing>
              <wp:anchor distT="0" distB="0" distL="114300" distR="114300" simplePos="0" relativeHeight="251659264" behindDoc="0" locked="0" layoutInCell="1" hidden="0" allowOverlap="1" wp14:anchorId="2043C6F7" wp14:editId="35525717">
                <wp:simplePos x="0" y="0"/>
                <wp:positionH relativeFrom="column">
                  <wp:posOffset>-157480</wp:posOffset>
                </wp:positionH>
                <wp:positionV relativeFrom="paragraph">
                  <wp:posOffset>471805</wp:posOffset>
                </wp:positionV>
                <wp:extent cx="7133806" cy="399493"/>
                <wp:effectExtent l="0" t="0" r="0" b="0"/>
                <wp:wrapNone/>
                <wp:docPr id="11" name="Rectangle 11"/>
                <wp:cNvGraphicFramePr/>
                <a:graphic xmlns:a="http://schemas.openxmlformats.org/drawingml/2006/main">
                  <a:graphicData uri="http://schemas.microsoft.com/office/word/2010/wordprocessingShape">
                    <wps:wsp>
                      <wps:cNvSpPr/>
                      <wps:spPr>
                        <a:xfrm>
                          <a:off x="0" y="0"/>
                          <a:ext cx="7133806" cy="399493"/>
                        </a:xfrm>
                        <a:prstGeom prst="rect">
                          <a:avLst/>
                        </a:prstGeom>
                        <a:solidFill>
                          <a:srgbClr val="0075C9"/>
                        </a:solidFill>
                        <a:ln>
                          <a:noFill/>
                        </a:ln>
                      </wps:spPr>
                      <wps:txbx>
                        <w:txbxContent>
                          <w:p w14:paraId="1A31A553" w14:textId="77777777" w:rsidR="0086756F" w:rsidRDefault="00B61B13">
                            <w:pPr>
                              <w:jc w:val="center"/>
                              <w:textDirection w:val="btLr"/>
                            </w:pPr>
                            <w:r>
                              <w:rPr>
                                <w:rFonts w:ascii="Arial" w:eastAsia="Arial" w:hAnsi="Arial" w:cs="Arial"/>
                                <w:b/>
                                <w:color w:val="FFFFFF"/>
                                <w:sz w:val="24"/>
                              </w:rPr>
                              <w:t xml:space="preserve">The Opportunity </w:t>
                            </w:r>
                          </w:p>
                        </w:txbxContent>
                      </wps:txbx>
                      <wps:bodyPr spcFirstLastPara="1" wrap="square" lIns="91425" tIns="45700" rIns="91425" bIns="45700" anchor="ctr" anchorCtr="0">
                        <a:noAutofit/>
                      </wps:bodyPr>
                    </wps:wsp>
                  </a:graphicData>
                </a:graphic>
              </wp:anchor>
            </w:drawing>
          </mc:Choice>
          <mc:Fallback>
            <w:pict>
              <v:rect w14:anchorId="2043C6F7" id="Rectangle 11" o:spid="_x0000_s1030" style="position:absolute;left:0;text-align:left;margin-left:-12.4pt;margin-top:37.15pt;width:561.7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" fillcolor="#0075c9" stroked="f">
                <v:textbox inset="2.53958mm,1.2694mm,2.53958mm,1.2694mm">
                  <w:txbxContent>
                    <w:p w14:paraId="1A31A553" w14:textId="77777777" w:rsidR="0086756F" w:rsidRDefault="00B61B13">
                      <w:pPr>
                        <w:jc w:val="center"/>
                        <w:textDirection w:val="btLr"/>
                      </w:pPr>
                      <w:r>
                        <w:rPr>
                          <w:rFonts w:ascii="Arial" w:eastAsia="Arial" w:hAnsi="Arial" w:cs="Arial"/>
                          <w:b/>
                          <w:color w:val="FFFFFF"/>
                          <w:sz w:val="24"/>
                        </w:rPr>
                        <w:t xml:space="preserve">The Opportunity </w:t>
                      </w:r>
                    </w:p>
                  </w:txbxContent>
                </v:textbox>
              </v:rect>
            </w:pict>
          </mc:Fallback>
        </mc:AlternateContent>
      </w:r>
      <w:r w:rsidRPr="0090764E">
        <w:rPr>
          <w:rFonts w:ascii="Montserrat" w:eastAsia="Montserrat" w:hAnsi="Montserrat" w:cs="Montserrat"/>
          <w:b/>
          <w:color w:val="0C77BD"/>
          <w:sz w:val="24"/>
          <w:szCs w:val="24"/>
        </w:rPr>
        <w:t>$30,000 Proposed Investme</w:t>
      </w:r>
      <w:r>
        <w:rPr>
          <w:rFonts w:ascii="Montserrat" w:eastAsia="Montserrat" w:hAnsi="Montserrat" w:cs="Montserrat"/>
          <w:b/>
          <w:color w:val="0C77BD"/>
          <w:sz w:val="24"/>
          <w:szCs w:val="24"/>
        </w:rPr>
        <w:t>n</w:t>
      </w:r>
      <w:r w:rsidRPr="0090764E">
        <w:rPr>
          <w:rFonts w:ascii="Montserrat" w:eastAsia="Montserrat" w:hAnsi="Montserrat" w:cs="Montserrat"/>
          <w:b/>
          <w:color w:val="0C77BD"/>
          <w:sz w:val="24"/>
          <w:szCs w:val="24"/>
        </w:rPr>
        <w:t>t</w:t>
      </w:r>
    </w:p>
    <w:p w14:paraId="161A7988" w14:textId="77777777" w:rsidR="001C5021" w:rsidRDefault="001C5021" w:rsidP="001C5021">
      <w:pPr>
        <w:spacing w:before="120" w:line="410" w:lineRule="auto"/>
        <w:ind w:left="-90" w:right="44"/>
        <w:rPr>
          <w:rFonts w:ascii="Montserrat" w:eastAsia="Montserrat" w:hAnsi="Montserrat" w:cs="Montserrat"/>
          <w:b/>
          <w:color w:val="0C77BD"/>
          <w:sz w:val="36"/>
          <w:szCs w:val="36"/>
        </w:rPr>
      </w:pPr>
    </w:p>
    <w:p w14:paraId="13DB515B" w14:textId="7B2879C4" w:rsidR="0086756F" w:rsidRDefault="001C5021">
      <w:pPr>
        <w:spacing w:before="120" w:line="410" w:lineRule="auto"/>
        <w:ind w:right="44"/>
        <w:rPr>
          <w:rFonts w:ascii="Montserrat" w:eastAsia="Montserrat" w:hAnsi="Montserrat" w:cs="Montserrat"/>
          <w:b/>
          <w:sz w:val="36"/>
          <w:szCs w:val="36"/>
        </w:rPr>
      </w:pPr>
      <w:r>
        <w:rPr>
          <w:rFonts w:ascii="Gotham Light" w:eastAsia="Gotham Light" w:hAnsi="Gotham Light" w:cs="Gotham Light"/>
          <w:noProof/>
        </w:rPr>
        <w:drawing>
          <wp:inline distT="0" distB="0" distL="0" distR="0" wp14:anchorId="5AD4439F" wp14:editId="1C330880">
            <wp:extent cx="3276600" cy="73279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276600" cy="732790"/>
                    </a:xfrm>
                    <a:prstGeom prst="rect">
                      <a:avLst/>
                    </a:prstGeom>
                    <a:ln/>
                  </pic:spPr>
                </pic:pic>
              </a:graphicData>
            </a:graphic>
          </wp:inline>
        </w:drawing>
      </w:r>
    </w:p>
    <w:p w14:paraId="5FCCC661" w14:textId="1D62CD8C" w:rsidR="0086756F" w:rsidRDefault="0086756F">
      <w:pPr>
        <w:rPr>
          <w:rFonts w:ascii="Gotham Light" w:eastAsia="Gotham Light" w:hAnsi="Gotham Light" w:cs="Gotham Light"/>
        </w:rPr>
      </w:pPr>
    </w:p>
    <w:p w14:paraId="4DE36B87" w14:textId="77777777" w:rsidR="0086756F" w:rsidRDefault="0086756F">
      <w:pPr>
        <w:rPr>
          <w:rFonts w:ascii="Gotham Light" w:eastAsia="Gotham Light" w:hAnsi="Gotham Light" w:cs="Gotham Light"/>
          <w:b/>
          <w:sz w:val="11"/>
          <w:szCs w:val="11"/>
        </w:rPr>
      </w:pPr>
    </w:p>
    <w:p w14:paraId="28A0F04A" w14:textId="77777777" w:rsidR="0086756F" w:rsidRDefault="0086756F">
      <w:pPr>
        <w:pBdr>
          <w:top w:val="nil"/>
          <w:left w:val="nil"/>
          <w:bottom w:val="nil"/>
          <w:right w:val="nil"/>
          <w:between w:val="nil"/>
        </w:pBdr>
        <w:jc w:val="right"/>
        <w:rPr>
          <w:rFonts w:ascii="Montserrat" w:eastAsia="Montserrat" w:hAnsi="Montserrat" w:cs="Montserrat"/>
          <w:color w:val="0C77BD"/>
          <w:sz w:val="24"/>
          <w:szCs w:val="24"/>
        </w:rPr>
      </w:pPr>
    </w:p>
    <w:p w14:paraId="412EFCFB" w14:textId="6887BDD7" w:rsidR="0086756F" w:rsidRDefault="00C24DB2">
      <w:pPr>
        <w:pBdr>
          <w:top w:val="nil"/>
          <w:left w:val="nil"/>
          <w:bottom w:val="nil"/>
          <w:right w:val="nil"/>
          <w:between w:val="nil"/>
        </w:pBdr>
        <w:ind w:left="2250"/>
        <w:jc w:val="center"/>
        <w:rPr>
          <w:rFonts w:ascii="Montserrat" w:eastAsia="Montserrat" w:hAnsi="Montserrat" w:cs="Montserrat"/>
          <w:color w:val="0C77BD"/>
          <w:sz w:val="24"/>
          <w:szCs w:val="24"/>
        </w:rPr>
      </w:pPr>
      <w:r>
        <w:rPr>
          <w:rFonts w:ascii="Montserrat" w:eastAsia="Montserrat" w:hAnsi="Montserrat" w:cs="Montserrat"/>
          <w:color w:val="0C77BD"/>
          <w:sz w:val="24"/>
          <w:szCs w:val="24"/>
        </w:rPr>
        <w:t>Financial Asset Development</w:t>
      </w:r>
      <w:r w:rsidR="00B61B13">
        <w:rPr>
          <w:rFonts w:ascii="Montserrat" w:eastAsia="Montserrat" w:hAnsi="Montserrat" w:cs="Montserrat"/>
          <w:color w:val="0C77BD"/>
          <w:sz w:val="24"/>
          <w:szCs w:val="24"/>
        </w:rPr>
        <w:t xml:space="preserve"> Committee</w:t>
      </w:r>
    </w:p>
    <w:p w14:paraId="42AC0891" w14:textId="77777777" w:rsidR="0086756F" w:rsidRDefault="0086756F">
      <w:pPr>
        <w:pBdr>
          <w:top w:val="nil"/>
          <w:left w:val="nil"/>
          <w:bottom w:val="nil"/>
          <w:right w:val="nil"/>
          <w:between w:val="nil"/>
        </w:pBdr>
        <w:jc w:val="center"/>
        <w:rPr>
          <w:rFonts w:ascii="Montserrat" w:eastAsia="Montserrat" w:hAnsi="Montserrat" w:cs="Montserrat"/>
          <w:color w:val="0C77BD"/>
          <w:sz w:val="24"/>
          <w:szCs w:val="24"/>
        </w:rPr>
      </w:pPr>
    </w:p>
    <w:p w14:paraId="5CD18548" w14:textId="77777777" w:rsidR="0086756F" w:rsidRDefault="0086756F">
      <w:pPr>
        <w:pBdr>
          <w:top w:val="nil"/>
          <w:left w:val="nil"/>
          <w:bottom w:val="nil"/>
          <w:right w:val="nil"/>
          <w:between w:val="nil"/>
        </w:pBdr>
        <w:rPr>
          <w:rFonts w:ascii="Montserrat" w:eastAsia="Montserrat" w:hAnsi="Montserrat" w:cs="Montserrat"/>
          <w:color w:val="000000"/>
          <w:sz w:val="24"/>
          <w:szCs w:val="24"/>
        </w:rPr>
        <w:sectPr w:rsidR="0086756F">
          <w:pgSz w:w="12600" w:h="16200"/>
          <w:pgMar w:top="720" w:right="720" w:bottom="720" w:left="720" w:header="720" w:footer="720" w:gutter="0"/>
          <w:pgNumType w:start="1"/>
          <w:cols w:num="2" w:space="720" w:equalWidth="0">
            <w:col w:w="5479" w:space="201"/>
            <w:col w:w="5479" w:space="0"/>
          </w:cols>
        </w:sectPr>
      </w:pPr>
    </w:p>
    <w:p w14:paraId="6CF2F67E" w14:textId="77777777" w:rsidR="0086756F" w:rsidRDefault="0086756F">
      <w:pPr>
        <w:widowControl/>
        <w:spacing w:line="276" w:lineRule="auto"/>
        <w:rPr>
          <w:rFonts w:ascii="Arial" w:eastAsia="Arial" w:hAnsi="Arial" w:cs="Arial"/>
          <w:sz w:val="12"/>
          <w:szCs w:val="12"/>
        </w:rPr>
      </w:pPr>
    </w:p>
    <w:p w14:paraId="3FE729B9" w14:textId="77777777" w:rsidR="0086756F" w:rsidRDefault="00B61B13">
      <w:pPr>
        <w:widowControl/>
        <w:rPr>
          <w:rFonts w:ascii="Arial" w:eastAsia="Arial" w:hAnsi="Arial" w:cs="Arial"/>
          <w:sz w:val="24"/>
          <w:szCs w:val="24"/>
        </w:rPr>
      </w:pPr>
      <w:r>
        <w:rPr>
          <w:rFonts w:ascii="Arial" w:eastAsia="Arial" w:hAnsi="Arial" w:cs="Arial"/>
          <w:sz w:val="24"/>
          <w:szCs w:val="24"/>
        </w:rPr>
        <w:t>On April 19, 2022, The North Carolina Department of Health and Human Services’ (DHHS) published a document outlining a new service definition: Care Extenders. DHHS’ vision is that extenders will help Advanced Medical Home Plus (AMH+) practices, Care Management Agencies (CMAs), and Tailored Plans best meet the needs of members, build efficient care teams by creating additional workforce capacity, and allow care managers and supervisors to focus on key tasks for assigned members as well as permit them additional time for members with intensive or complex needs. Extender qualifications included:</w:t>
      </w:r>
    </w:p>
    <w:p w14:paraId="2238720E" w14:textId="77777777" w:rsidR="0086756F" w:rsidRDefault="00B61B13">
      <w:pPr>
        <w:widowControl/>
        <w:numPr>
          <w:ilvl w:val="0"/>
          <w:numId w:val="4"/>
        </w:numPr>
        <w:rPr>
          <w:rFonts w:ascii="Arial" w:eastAsia="Arial" w:hAnsi="Arial" w:cs="Arial"/>
          <w:sz w:val="24"/>
          <w:szCs w:val="24"/>
        </w:rPr>
      </w:pPr>
      <w:r>
        <w:rPr>
          <w:rFonts w:ascii="Arial" w:eastAsia="Arial" w:hAnsi="Arial" w:cs="Arial"/>
          <w:sz w:val="24"/>
          <w:szCs w:val="24"/>
        </w:rPr>
        <w:t>Being a person with lived experience with an I/DD or a TBI with demonstrated knowledge of and direct personal experience navigating the North Carolina Medicaid delivery system or</w:t>
      </w:r>
    </w:p>
    <w:p w14:paraId="6A7C4060" w14:textId="77777777" w:rsidR="0086756F" w:rsidRDefault="00B61B13">
      <w:pPr>
        <w:widowControl/>
        <w:numPr>
          <w:ilvl w:val="0"/>
          <w:numId w:val="4"/>
        </w:numPr>
        <w:spacing w:after="160"/>
        <w:rPr>
          <w:rFonts w:ascii="Arial" w:eastAsia="Arial" w:hAnsi="Arial" w:cs="Arial"/>
          <w:sz w:val="24"/>
          <w:szCs w:val="24"/>
        </w:rPr>
      </w:pPr>
      <w:r>
        <w:rPr>
          <w:rFonts w:ascii="Arial" w:eastAsia="Arial" w:hAnsi="Arial" w:cs="Arial"/>
          <w:sz w:val="24"/>
          <w:szCs w:val="24"/>
        </w:rPr>
        <w:t>A parent or guardian of an individual with an I/DD or a TBI or a behavioral health condition and has at least two years of direct experience providing care for and navigating the Medicaid delivery system on behalf of that individual (parent/guardian cannot serve as an extender for their family member).</w:t>
      </w:r>
    </w:p>
    <w:p w14:paraId="3BBE930B" w14:textId="77777777" w:rsidR="0086756F" w:rsidRDefault="00B61B13">
      <w:pPr>
        <w:widowControl/>
        <w:rPr>
          <w:rFonts w:ascii="Arial" w:eastAsia="Arial" w:hAnsi="Arial" w:cs="Arial"/>
          <w:b/>
          <w:color w:val="0075C9"/>
          <w:sz w:val="24"/>
          <w:szCs w:val="24"/>
        </w:rPr>
      </w:pPr>
      <w:r>
        <w:rPr>
          <w:rFonts w:ascii="Arial" w:eastAsia="Arial" w:hAnsi="Arial" w:cs="Arial"/>
          <w:sz w:val="24"/>
          <w:szCs w:val="24"/>
        </w:rPr>
        <w:t>This new service definition, and the formal incorporation of people with lived experience and their family members into a paid service, present a unique opportunity to advance the idea of Family Navigation and Peer Support Services for people with I/DD in North Carolina.</w:t>
      </w:r>
    </w:p>
    <w:p w14:paraId="191BE39E" w14:textId="77777777" w:rsidR="0086756F" w:rsidRDefault="00B61B13">
      <w:pPr>
        <w:tabs>
          <w:tab w:val="left" w:pos="0"/>
          <w:tab w:val="left" w:pos="5760"/>
        </w:tabs>
        <w:rPr>
          <w:rFonts w:ascii="Arial" w:eastAsia="Arial" w:hAnsi="Arial" w:cs="Arial"/>
          <w:b/>
          <w:color w:val="0075C9"/>
          <w:sz w:val="24"/>
          <w:szCs w:val="24"/>
        </w:rPr>
      </w:pPr>
      <w:r>
        <w:rPr>
          <w:noProof/>
        </w:rPr>
        <mc:AlternateContent>
          <mc:Choice Requires="wps">
            <w:drawing>
              <wp:anchor distT="0" distB="0" distL="114300" distR="114300" simplePos="0" relativeHeight="251660288" behindDoc="0" locked="0" layoutInCell="1" hidden="0" allowOverlap="1" wp14:anchorId="4BFE99A8" wp14:editId="7E299F22">
                <wp:simplePos x="0" y="0"/>
                <wp:positionH relativeFrom="column">
                  <wp:posOffset>0</wp:posOffset>
                </wp:positionH>
                <wp:positionV relativeFrom="paragraph">
                  <wp:posOffset>105410</wp:posOffset>
                </wp:positionV>
                <wp:extent cx="7124281" cy="472440"/>
                <wp:effectExtent l="0" t="0" r="635" b="3810"/>
                <wp:wrapNone/>
                <wp:docPr id="12" name="Rectangle 12"/>
                <wp:cNvGraphicFramePr/>
                <a:graphic xmlns:a="http://schemas.openxmlformats.org/drawingml/2006/main">
                  <a:graphicData uri="http://schemas.microsoft.com/office/word/2010/wordprocessingShape">
                    <wps:wsp>
                      <wps:cNvSpPr/>
                      <wps:spPr>
                        <a:xfrm>
                          <a:off x="0" y="0"/>
                          <a:ext cx="7124281" cy="472440"/>
                        </a:xfrm>
                        <a:prstGeom prst="rect">
                          <a:avLst/>
                        </a:prstGeom>
                        <a:solidFill>
                          <a:srgbClr val="0075C9"/>
                        </a:solidFill>
                        <a:ln>
                          <a:noFill/>
                        </a:ln>
                      </wps:spPr>
                      <wps:txbx>
                        <w:txbxContent>
                          <w:p w14:paraId="037D5C8F" w14:textId="77777777" w:rsidR="0086756F" w:rsidRDefault="0086756F">
                            <w:pPr>
                              <w:jc w:val="center"/>
                              <w:textDirection w:val="btLr"/>
                            </w:pPr>
                          </w:p>
                          <w:p w14:paraId="7B5482A2" w14:textId="77777777" w:rsidR="0086756F" w:rsidRDefault="00B61B13">
                            <w:pPr>
                              <w:jc w:val="center"/>
                              <w:textDirection w:val="btLr"/>
                            </w:pPr>
                            <w:r>
                              <w:rPr>
                                <w:rFonts w:ascii="Arial" w:eastAsia="Arial" w:hAnsi="Arial" w:cs="Arial"/>
                                <w:b/>
                                <w:color w:val="FFFFFF"/>
                                <w:sz w:val="24"/>
                              </w:rPr>
                              <w:t xml:space="preserve">The Challenge </w:t>
                            </w:r>
                          </w:p>
                          <w:p w14:paraId="742472E4" w14:textId="77777777" w:rsidR="0086756F" w:rsidRDefault="0086756F">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BFE99A8" id="Rectangle 12" o:spid="_x0000_s1031" style="position:absolute;margin-left:0;margin-top:8.3pt;width:560.9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" fillcolor="#0075c9" stroked="f">
                <v:textbox inset="2.53958mm,1.2694mm,2.53958mm,1.2694mm">
                  <w:txbxContent>
                    <w:p w14:paraId="037D5C8F" w14:textId="77777777" w:rsidR="0086756F" w:rsidRDefault="0086756F">
                      <w:pPr>
                        <w:jc w:val="center"/>
                        <w:textDirection w:val="btLr"/>
                      </w:pPr>
                    </w:p>
                    <w:p w14:paraId="7B5482A2" w14:textId="77777777" w:rsidR="0086756F" w:rsidRDefault="00B61B13">
                      <w:pPr>
                        <w:jc w:val="center"/>
                        <w:textDirection w:val="btLr"/>
                      </w:pPr>
                      <w:r>
                        <w:rPr>
                          <w:rFonts w:ascii="Arial" w:eastAsia="Arial" w:hAnsi="Arial" w:cs="Arial"/>
                          <w:b/>
                          <w:color w:val="FFFFFF"/>
                          <w:sz w:val="24"/>
                        </w:rPr>
                        <w:t xml:space="preserve">The Challenge </w:t>
                      </w:r>
                    </w:p>
                    <w:p w14:paraId="742472E4" w14:textId="77777777" w:rsidR="0086756F" w:rsidRDefault="0086756F">
                      <w:pPr>
                        <w:textDirection w:val="btLr"/>
                      </w:pPr>
                    </w:p>
                  </w:txbxContent>
                </v:textbox>
              </v:rect>
            </w:pict>
          </mc:Fallback>
        </mc:AlternateContent>
      </w:r>
    </w:p>
    <w:p w14:paraId="5DF7D6F9" w14:textId="77777777" w:rsidR="0086756F" w:rsidRDefault="00B61B13">
      <w:pPr>
        <w:pBdr>
          <w:top w:val="nil"/>
          <w:left w:val="nil"/>
          <w:bottom w:val="nil"/>
          <w:right w:val="nil"/>
          <w:between w:val="nil"/>
        </w:pBdr>
        <w:spacing w:before="240" w:line="246" w:lineRule="auto"/>
        <w:ind w:left="182" w:right="2"/>
        <w:jc w:val="center"/>
        <w:rPr>
          <w:rFonts w:ascii="Arial" w:eastAsia="Arial" w:hAnsi="Arial" w:cs="Arial"/>
          <w:b/>
          <w:color w:val="FFFFFF"/>
          <w:sz w:val="24"/>
          <w:szCs w:val="24"/>
        </w:rPr>
      </w:pPr>
      <w:r>
        <w:rPr>
          <w:rFonts w:ascii="Arial" w:eastAsia="Arial" w:hAnsi="Arial" w:cs="Arial"/>
          <w:b/>
          <w:color w:val="FFFFFF"/>
          <w:sz w:val="24"/>
          <w:szCs w:val="24"/>
        </w:rPr>
        <w:t>System Gap Addressed</w:t>
      </w:r>
    </w:p>
    <w:p w14:paraId="07FEFF9A" w14:textId="77777777" w:rsidR="0086756F" w:rsidRDefault="0086756F">
      <w:pPr>
        <w:rPr>
          <w:rFonts w:ascii="Arial" w:eastAsia="Arial" w:hAnsi="Arial" w:cs="Arial"/>
          <w:sz w:val="12"/>
          <w:szCs w:val="12"/>
        </w:rPr>
      </w:pPr>
    </w:p>
    <w:p w14:paraId="5CA0750F" w14:textId="77777777" w:rsidR="0086756F" w:rsidRDefault="00B61B13">
      <w:pPr>
        <w:rPr>
          <w:rFonts w:ascii="Arial" w:eastAsia="Arial" w:hAnsi="Arial" w:cs="Arial"/>
          <w:sz w:val="24"/>
          <w:szCs w:val="24"/>
          <w:highlight w:val="white"/>
        </w:rPr>
      </w:pPr>
      <w:r>
        <w:rPr>
          <w:rFonts w:ascii="Arial" w:eastAsia="Arial" w:hAnsi="Arial" w:cs="Arial"/>
          <w:sz w:val="24"/>
          <w:szCs w:val="24"/>
        </w:rPr>
        <w:t xml:space="preserve">While the proposal of a service definition for Care Extenders creates a pivotal opportunity to advance the idea of paid, professional family and peer support in the I/DD service system, it has come at a precarious time. DHHS and the I/DD service delivery system are undergoing a seismic shift, </w:t>
      </w:r>
      <w:r>
        <w:rPr>
          <w:rFonts w:ascii="Arial" w:eastAsia="Arial" w:hAnsi="Arial" w:cs="Arial"/>
          <w:sz w:val="24"/>
          <w:szCs w:val="24"/>
          <w:highlight w:val="white"/>
        </w:rPr>
        <w:t>with plans to transition from the current LME-MCO model to the NC Medicaid Managed Care Behavioral Health and Intellectual/Developmental Disabilities Tailored Plan on Dec. 1, 2022. Providers and other stakeholders are currently under a lot of stress as they work to prepare for the transition.</w:t>
      </w:r>
    </w:p>
    <w:p w14:paraId="12B7B08C" w14:textId="77777777" w:rsidR="0086756F" w:rsidRDefault="0086756F">
      <w:pPr>
        <w:widowControl/>
        <w:rPr>
          <w:rFonts w:ascii="Arial" w:eastAsia="Arial" w:hAnsi="Arial" w:cs="Arial"/>
          <w:sz w:val="24"/>
          <w:szCs w:val="24"/>
          <w:highlight w:val="white"/>
        </w:rPr>
      </w:pPr>
    </w:p>
    <w:p w14:paraId="2EE4A298" w14:textId="08FE5A3E" w:rsidR="00BC7968" w:rsidRDefault="00B61B13" w:rsidP="00BC7968">
      <w:pPr>
        <w:widowControl/>
        <w:rPr>
          <w:rFonts w:ascii="Arial" w:eastAsia="Arial" w:hAnsi="Arial" w:cs="Arial"/>
          <w:b/>
          <w:i/>
          <w:sz w:val="24"/>
          <w:szCs w:val="24"/>
        </w:rPr>
      </w:pPr>
      <w:r>
        <w:rPr>
          <w:rFonts w:ascii="Arial" w:eastAsia="Arial" w:hAnsi="Arial" w:cs="Arial"/>
          <w:b/>
          <w:i/>
          <w:sz w:val="24"/>
          <w:szCs w:val="24"/>
          <w:highlight w:val="white"/>
        </w:rPr>
        <w:t xml:space="preserve">To help ensure the successful deployment of the Care Extender role, it is necessary to determine what challenges and obstacles providers, policymakers, </w:t>
      </w:r>
      <w:proofErr w:type="gramStart"/>
      <w:r>
        <w:rPr>
          <w:rFonts w:ascii="Arial" w:eastAsia="Arial" w:hAnsi="Arial" w:cs="Arial"/>
          <w:b/>
          <w:i/>
          <w:sz w:val="24"/>
          <w:szCs w:val="24"/>
          <w:highlight w:val="white"/>
        </w:rPr>
        <w:t>families</w:t>
      </w:r>
      <w:proofErr w:type="gramEnd"/>
      <w:r w:rsidR="0016029E">
        <w:rPr>
          <w:rFonts w:ascii="Arial" w:eastAsia="Arial" w:hAnsi="Arial" w:cs="Arial"/>
          <w:b/>
          <w:i/>
          <w:sz w:val="24"/>
          <w:szCs w:val="24"/>
        </w:rPr>
        <w:t xml:space="preserve"> </w:t>
      </w:r>
      <w:r w:rsidR="00BC7968">
        <w:rPr>
          <w:rFonts w:ascii="Arial" w:eastAsia="Arial" w:hAnsi="Arial" w:cs="Arial"/>
          <w:b/>
          <w:i/>
          <w:sz w:val="24"/>
          <w:szCs w:val="24"/>
          <w:highlight w:val="white"/>
        </w:rPr>
        <w:t>and individuals</w:t>
      </w:r>
      <w:r w:rsidR="00B27800">
        <w:rPr>
          <w:rFonts w:ascii="Arial" w:eastAsia="Arial" w:hAnsi="Arial" w:cs="Arial"/>
          <w:b/>
          <w:i/>
          <w:sz w:val="24"/>
          <w:szCs w:val="24"/>
          <w:highlight w:val="white"/>
        </w:rPr>
        <w:t xml:space="preserve"> may face</w:t>
      </w:r>
      <w:r w:rsidR="00BC7968">
        <w:rPr>
          <w:rFonts w:ascii="Arial" w:eastAsia="Arial" w:hAnsi="Arial" w:cs="Arial"/>
          <w:b/>
          <w:i/>
          <w:sz w:val="24"/>
          <w:szCs w:val="24"/>
          <w:highlight w:val="white"/>
        </w:rPr>
        <w:t xml:space="preserve"> so an array of solutions can be proposed that build on our state’s assets and meet statewide needs.</w:t>
      </w:r>
    </w:p>
    <w:p w14:paraId="7F190A97" w14:textId="77777777" w:rsidR="0016029E" w:rsidRDefault="0016029E">
      <w:pPr>
        <w:widowControl/>
        <w:rPr>
          <w:rFonts w:ascii="Arial" w:eastAsia="Arial" w:hAnsi="Arial" w:cs="Arial"/>
          <w:b/>
          <w:i/>
          <w:sz w:val="24"/>
          <w:szCs w:val="24"/>
        </w:rPr>
      </w:pPr>
    </w:p>
    <w:p w14:paraId="2BFC9425" w14:textId="17A06395" w:rsidR="0086756F" w:rsidRDefault="00B61B13">
      <w:pPr>
        <w:widowControl/>
        <w:rPr>
          <w:rFonts w:ascii="Arial" w:eastAsia="Arial" w:hAnsi="Arial" w:cs="Arial"/>
          <w:sz w:val="24"/>
          <w:szCs w:val="24"/>
        </w:rPr>
      </w:pPr>
      <w:r>
        <w:rPr>
          <w:rFonts w:ascii="Arial" w:eastAsia="Arial" w:hAnsi="Arial" w:cs="Arial"/>
          <w:sz w:val="24"/>
          <w:szCs w:val="24"/>
        </w:rPr>
        <w:t>To support the use of Care Extenders for the I/DD population in NC, Community Bridges Consulting Group proposes the following project to identify the challenges of adopting the Care Extender service definitions. After identifying the challenges, organizations and stakeholders can work collectively to address them to ensure that Care Extenders are used adequately for the I/DD population.</w:t>
      </w:r>
    </w:p>
    <w:p w14:paraId="13CC2C81" w14:textId="77777777" w:rsidR="0086756F" w:rsidRDefault="0086756F">
      <w:pPr>
        <w:widowControl/>
        <w:rPr>
          <w:rFonts w:ascii="Arial" w:eastAsia="Arial" w:hAnsi="Arial" w:cs="Arial"/>
          <w:sz w:val="24"/>
          <w:szCs w:val="24"/>
        </w:rPr>
      </w:pPr>
    </w:p>
    <w:p w14:paraId="1AD41B45" w14:textId="77777777" w:rsidR="0086756F" w:rsidRDefault="00B61B13">
      <w:pPr>
        <w:widowControl/>
        <w:rPr>
          <w:rFonts w:ascii="Arial" w:eastAsia="Arial" w:hAnsi="Arial" w:cs="Arial"/>
          <w:sz w:val="24"/>
          <w:szCs w:val="24"/>
        </w:rPr>
      </w:pPr>
      <w:r>
        <w:rPr>
          <w:rFonts w:ascii="Arial" w:eastAsia="Arial" w:hAnsi="Arial" w:cs="Arial"/>
          <w:sz w:val="24"/>
          <w:szCs w:val="24"/>
        </w:rPr>
        <w:t xml:space="preserve">To enable this, the following is proposed: </w:t>
      </w:r>
    </w:p>
    <w:p w14:paraId="5626E7B4" w14:textId="77777777" w:rsidR="0086756F" w:rsidRDefault="00B61B13">
      <w:pPr>
        <w:widowControl/>
        <w:numPr>
          <w:ilvl w:val="0"/>
          <w:numId w:val="1"/>
        </w:numPr>
        <w:rPr>
          <w:rFonts w:ascii="Arial" w:eastAsia="Arial" w:hAnsi="Arial" w:cs="Arial"/>
          <w:sz w:val="24"/>
          <w:szCs w:val="24"/>
        </w:rPr>
      </w:pPr>
      <w:r>
        <w:rPr>
          <w:rFonts w:ascii="Arial" w:eastAsia="Arial" w:hAnsi="Arial" w:cs="Arial"/>
          <w:sz w:val="24"/>
          <w:szCs w:val="24"/>
        </w:rPr>
        <w:t>Developing a methodology for and performing an environmental scan; and,</w:t>
      </w:r>
    </w:p>
    <w:p w14:paraId="2D93C2BA" w14:textId="77777777" w:rsidR="0086756F" w:rsidRDefault="00B61B13">
      <w:pPr>
        <w:widowControl/>
        <w:numPr>
          <w:ilvl w:val="0"/>
          <w:numId w:val="1"/>
        </w:numPr>
        <w:spacing w:after="20"/>
        <w:rPr>
          <w:rFonts w:ascii="Arial" w:eastAsia="Arial" w:hAnsi="Arial" w:cs="Arial"/>
          <w:sz w:val="24"/>
          <w:szCs w:val="24"/>
        </w:rPr>
      </w:pPr>
      <w:r>
        <w:rPr>
          <w:rFonts w:ascii="Arial" w:eastAsia="Arial" w:hAnsi="Arial" w:cs="Arial"/>
          <w:sz w:val="24"/>
          <w:szCs w:val="24"/>
        </w:rPr>
        <w:lastRenderedPageBreak/>
        <w:t xml:space="preserve">Develop a White Paper summarizing findings and providing </w:t>
      </w:r>
      <w:r>
        <w:rPr>
          <w:rFonts w:ascii="Arial" w:eastAsia="Arial" w:hAnsi="Arial" w:cs="Arial"/>
          <w:b/>
          <w:sz w:val="24"/>
          <w:szCs w:val="24"/>
        </w:rPr>
        <w:t>strategic recommendations to bolster the usage of Care Extenders for the I/DD population.</w:t>
      </w:r>
    </w:p>
    <w:p w14:paraId="18A22759" w14:textId="77777777" w:rsidR="0086756F" w:rsidRDefault="0086756F">
      <w:pPr>
        <w:widowControl/>
        <w:rPr>
          <w:rFonts w:ascii="Arial" w:eastAsia="Arial" w:hAnsi="Arial" w:cs="Arial"/>
          <w:sz w:val="24"/>
          <w:szCs w:val="24"/>
        </w:rPr>
      </w:pPr>
    </w:p>
    <w:p w14:paraId="6AB33F8E" w14:textId="77777777" w:rsidR="001877B3" w:rsidRDefault="001877B3">
      <w:pPr>
        <w:widowControl/>
        <w:rPr>
          <w:rFonts w:ascii="Arial" w:eastAsia="Arial" w:hAnsi="Arial" w:cs="Arial"/>
          <w:sz w:val="24"/>
          <w:szCs w:val="24"/>
        </w:rPr>
      </w:pPr>
    </w:p>
    <w:p w14:paraId="1FCC49A4" w14:textId="67E8D7FF" w:rsidR="0086756F" w:rsidRDefault="00B61B13">
      <w:pPr>
        <w:widowControl/>
        <w:rPr>
          <w:rFonts w:ascii="Arial" w:eastAsia="Arial" w:hAnsi="Arial" w:cs="Arial"/>
          <w:sz w:val="24"/>
          <w:szCs w:val="24"/>
        </w:rPr>
      </w:pPr>
      <w:r>
        <w:rPr>
          <w:rFonts w:ascii="Arial" w:eastAsia="Arial" w:hAnsi="Arial" w:cs="Arial"/>
          <w:sz w:val="24"/>
          <w:szCs w:val="24"/>
        </w:rPr>
        <w:t xml:space="preserve">To successfully implement this, the following tasks will take place: </w:t>
      </w:r>
    </w:p>
    <w:p w14:paraId="7B31D6EA"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Hire a family member and a self-advocate to serve on the core project team.</w:t>
      </w:r>
    </w:p>
    <w:p w14:paraId="420ED401"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Identify key sectors and stakeholders</w:t>
      </w:r>
      <w:r>
        <w:rPr>
          <w:rFonts w:ascii="Arial" w:eastAsia="Arial" w:hAnsi="Arial" w:cs="Arial"/>
          <w:i/>
          <w:sz w:val="24"/>
          <w:szCs w:val="24"/>
        </w:rPr>
        <w:t xml:space="preserve"> </w:t>
      </w:r>
      <w:r>
        <w:rPr>
          <w:rFonts w:ascii="Arial" w:eastAsia="Arial" w:hAnsi="Arial" w:cs="Arial"/>
          <w:sz w:val="24"/>
          <w:szCs w:val="24"/>
        </w:rPr>
        <w:t>impacted by care management and integrated care.</w:t>
      </w:r>
    </w:p>
    <w:p w14:paraId="4DE81416"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Develop an interview guide.</w:t>
      </w:r>
    </w:p>
    <w:p w14:paraId="5B577525"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Conduct interviews.</w:t>
      </w:r>
    </w:p>
    <w:p w14:paraId="4535EE86"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Review information with the project Advisory Committee.</w:t>
      </w:r>
    </w:p>
    <w:p w14:paraId="410C5B9A"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Analyze themes within sectors and across groups.</w:t>
      </w:r>
    </w:p>
    <w:p w14:paraId="12230362" w14:textId="2188E8A4"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Identify current use of family navigation and support and peer support within NC.</w:t>
      </w:r>
    </w:p>
    <w:p w14:paraId="1C51AB4E" w14:textId="35D555BE" w:rsidR="005C346B" w:rsidRDefault="005C346B">
      <w:pPr>
        <w:widowControl/>
        <w:numPr>
          <w:ilvl w:val="0"/>
          <w:numId w:val="3"/>
        </w:numPr>
        <w:rPr>
          <w:rFonts w:ascii="Arial" w:eastAsia="Arial" w:hAnsi="Arial" w:cs="Arial"/>
          <w:sz w:val="24"/>
          <w:szCs w:val="24"/>
        </w:rPr>
      </w:pPr>
      <w:r>
        <w:rPr>
          <w:rFonts w:ascii="Arial" w:eastAsia="Arial" w:hAnsi="Arial" w:cs="Arial"/>
          <w:sz w:val="24"/>
          <w:szCs w:val="24"/>
        </w:rPr>
        <w:t>Identify potential needs for training for Care Extenders.</w:t>
      </w:r>
    </w:p>
    <w:p w14:paraId="6445714F"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Compile best practice information from other states.</w:t>
      </w:r>
    </w:p>
    <w:p w14:paraId="5718D211" w14:textId="77777777" w:rsidR="0086756F" w:rsidRDefault="00B61B13">
      <w:pPr>
        <w:widowControl/>
        <w:numPr>
          <w:ilvl w:val="0"/>
          <w:numId w:val="8"/>
        </w:numPr>
        <w:rPr>
          <w:rFonts w:ascii="Arial" w:eastAsia="Arial" w:hAnsi="Arial" w:cs="Arial"/>
          <w:sz w:val="24"/>
          <w:szCs w:val="24"/>
        </w:rPr>
      </w:pPr>
      <w:r>
        <w:rPr>
          <w:rFonts w:ascii="Arial" w:eastAsia="Arial" w:hAnsi="Arial" w:cs="Arial"/>
          <w:sz w:val="24"/>
          <w:szCs w:val="24"/>
        </w:rPr>
        <w:t xml:space="preserve">Identify potential sources of recruitment for family navigation and peer support. </w:t>
      </w:r>
    </w:p>
    <w:p w14:paraId="6E3FC55E" w14:textId="77777777" w:rsidR="0086756F" w:rsidRDefault="00B61B13">
      <w:pPr>
        <w:widowControl/>
        <w:numPr>
          <w:ilvl w:val="0"/>
          <w:numId w:val="8"/>
        </w:numPr>
        <w:rPr>
          <w:rFonts w:ascii="Arial" w:eastAsia="Arial" w:hAnsi="Arial" w:cs="Arial"/>
          <w:sz w:val="24"/>
          <w:szCs w:val="24"/>
        </w:rPr>
      </w:pPr>
      <w:r>
        <w:rPr>
          <w:rFonts w:ascii="Arial" w:eastAsia="Arial" w:hAnsi="Arial" w:cs="Arial"/>
          <w:sz w:val="24"/>
          <w:szCs w:val="24"/>
        </w:rPr>
        <w:t>Identify how care management extenders align with NCCDD projects and NCDHHS initiatives, including the focus on health equity.</w:t>
      </w:r>
    </w:p>
    <w:p w14:paraId="1F839645" w14:textId="671E1AFD" w:rsidR="0086756F" w:rsidRDefault="00B61B13">
      <w:pPr>
        <w:widowControl/>
        <w:rPr>
          <w:rFonts w:ascii="Arial" w:eastAsia="Arial" w:hAnsi="Arial" w:cs="Arial"/>
          <w:b/>
          <w:i/>
          <w:sz w:val="24"/>
          <w:szCs w:val="24"/>
        </w:rPr>
      </w:pPr>
      <w:r>
        <w:rPr>
          <w:rFonts w:ascii="Arial" w:eastAsia="Arial" w:hAnsi="Arial" w:cs="Arial"/>
          <w:b/>
          <w:i/>
          <w:sz w:val="24"/>
          <w:szCs w:val="24"/>
          <w:highlight w:val="white"/>
        </w:rPr>
        <w:t xml:space="preserve"> </w:t>
      </w:r>
    </w:p>
    <w:p w14:paraId="162896EE" w14:textId="77777777" w:rsidR="0086756F" w:rsidRDefault="00B61B13">
      <w:pPr>
        <w:rPr>
          <w:rFonts w:ascii="Arial" w:eastAsia="Arial" w:hAnsi="Arial" w:cs="Arial"/>
          <w:sz w:val="24"/>
          <w:szCs w:val="24"/>
        </w:rPr>
      </w:pPr>
      <w:r>
        <w:rPr>
          <w:noProof/>
        </w:rPr>
        <mc:AlternateContent>
          <mc:Choice Requires="wps">
            <w:drawing>
              <wp:anchor distT="0" distB="0" distL="114300" distR="114300" simplePos="0" relativeHeight="251661312" behindDoc="0" locked="0" layoutInCell="1" hidden="0" allowOverlap="1" wp14:anchorId="63BB02D5" wp14:editId="1868878A">
                <wp:simplePos x="0" y="0"/>
                <wp:positionH relativeFrom="column">
                  <wp:posOffset>-50799</wp:posOffset>
                </wp:positionH>
                <wp:positionV relativeFrom="paragraph">
                  <wp:posOffset>76200</wp:posOffset>
                </wp:positionV>
                <wp:extent cx="7133806" cy="399493"/>
                <wp:effectExtent l="0" t="0" r="0" b="0"/>
                <wp:wrapNone/>
                <wp:docPr id="17" name="Rectangle 17"/>
                <wp:cNvGraphicFramePr/>
                <a:graphic xmlns:a="http://schemas.openxmlformats.org/drawingml/2006/main">
                  <a:graphicData uri="http://schemas.microsoft.com/office/word/2010/wordprocessingShape">
                    <wps:wsp>
                      <wps:cNvSpPr/>
                      <wps:spPr>
                        <a:xfrm>
                          <a:off x="1783860" y="3589082"/>
                          <a:ext cx="7124281" cy="381837"/>
                        </a:xfrm>
                        <a:prstGeom prst="rect">
                          <a:avLst/>
                        </a:prstGeom>
                        <a:solidFill>
                          <a:srgbClr val="0075C9"/>
                        </a:solidFill>
                        <a:ln>
                          <a:noFill/>
                        </a:ln>
                      </wps:spPr>
                      <wps:txbx>
                        <w:txbxContent>
                          <w:p w14:paraId="1F40C959" w14:textId="77777777" w:rsidR="0086756F" w:rsidRDefault="00B61B13">
                            <w:pPr>
                              <w:jc w:val="center"/>
                              <w:textDirection w:val="btLr"/>
                            </w:pPr>
                            <w:r>
                              <w:rPr>
                                <w:rFonts w:ascii="Arial" w:eastAsia="Arial" w:hAnsi="Arial" w:cs="Arial"/>
                                <w:b/>
                                <w:color w:val="FFFFFF"/>
                                <w:sz w:val="24"/>
                              </w:rPr>
                              <w:t>Background</w:t>
                            </w:r>
                          </w:p>
                        </w:txbxContent>
                      </wps:txbx>
                      <wps:bodyPr spcFirstLastPara="1" wrap="square" lIns="91425" tIns="45700" rIns="91425" bIns="45700" anchor="ctr" anchorCtr="0">
                        <a:noAutofit/>
                      </wps:bodyPr>
                    </wps:wsp>
                  </a:graphicData>
                </a:graphic>
              </wp:anchor>
            </w:drawing>
          </mc:Choice>
          <mc:Fallback>
            <w:pict>
              <v:rect w14:anchorId="63BB02D5" id="Rectangle 17" o:spid="_x0000_s1032" style="position:absolute;margin-left:-4pt;margin-top:6pt;width:561.7pt;height:3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" fillcolor="#0075c9" stroked="f">
                <v:textbox inset="2.53958mm,1.2694mm,2.53958mm,1.2694mm">
                  <w:txbxContent>
                    <w:p w14:paraId="1F40C959" w14:textId="77777777" w:rsidR="0086756F" w:rsidRDefault="00B61B13">
                      <w:pPr>
                        <w:jc w:val="center"/>
                        <w:textDirection w:val="btLr"/>
                      </w:pPr>
                      <w:r>
                        <w:rPr>
                          <w:rFonts w:ascii="Arial" w:eastAsia="Arial" w:hAnsi="Arial" w:cs="Arial"/>
                          <w:b/>
                          <w:color w:val="FFFFFF"/>
                          <w:sz w:val="24"/>
                        </w:rPr>
                        <w:t>Background</w:t>
                      </w:r>
                    </w:p>
                  </w:txbxContent>
                </v:textbox>
              </v:rect>
            </w:pict>
          </mc:Fallback>
        </mc:AlternateContent>
      </w:r>
    </w:p>
    <w:p w14:paraId="2E32F557" w14:textId="77777777" w:rsidR="0086756F" w:rsidRDefault="0086756F">
      <w:pPr>
        <w:rPr>
          <w:rFonts w:ascii="Arial" w:eastAsia="Arial" w:hAnsi="Arial" w:cs="Arial"/>
          <w:sz w:val="24"/>
          <w:szCs w:val="24"/>
        </w:rPr>
      </w:pPr>
    </w:p>
    <w:p w14:paraId="73FACC04" w14:textId="77777777" w:rsidR="0086756F" w:rsidRDefault="0086756F">
      <w:pPr>
        <w:rPr>
          <w:rFonts w:ascii="Arial" w:eastAsia="Arial" w:hAnsi="Arial" w:cs="Arial"/>
          <w:sz w:val="24"/>
          <w:szCs w:val="24"/>
        </w:rPr>
      </w:pPr>
    </w:p>
    <w:p w14:paraId="7771A53E" w14:textId="77777777" w:rsidR="0086756F" w:rsidRDefault="0086756F">
      <w:pPr>
        <w:widowControl/>
        <w:spacing w:line="276" w:lineRule="auto"/>
        <w:rPr>
          <w:rFonts w:ascii="Arial" w:eastAsia="Arial" w:hAnsi="Arial" w:cs="Arial"/>
          <w:sz w:val="12"/>
          <w:szCs w:val="12"/>
        </w:rPr>
      </w:pPr>
    </w:p>
    <w:p w14:paraId="5DDD3C06" w14:textId="77777777" w:rsidR="0086756F" w:rsidRDefault="00B61B13">
      <w:pPr>
        <w:widowControl/>
        <w:rPr>
          <w:rFonts w:ascii="Arial" w:eastAsia="Arial" w:hAnsi="Arial" w:cs="Arial"/>
          <w:b/>
          <w:sz w:val="24"/>
          <w:szCs w:val="24"/>
        </w:rPr>
      </w:pPr>
      <w:r>
        <w:rPr>
          <w:rFonts w:ascii="Arial" w:eastAsia="Arial" w:hAnsi="Arial" w:cs="Arial"/>
          <w:sz w:val="24"/>
          <w:szCs w:val="24"/>
        </w:rPr>
        <w:t xml:space="preserve">This new service definition, and the formal incorporation of people with lived experience and family members into a paid service, present a unique opportunity to advance the idea of Family Navigation and Peer Support Services for people with I/DD in North Carolina. </w:t>
      </w:r>
      <w:r>
        <w:rPr>
          <w:rFonts w:ascii="Arial" w:eastAsia="Arial" w:hAnsi="Arial" w:cs="Arial"/>
          <w:b/>
          <w:sz w:val="24"/>
          <w:szCs w:val="24"/>
        </w:rPr>
        <w:t xml:space="preserve">Care Extenders utilizing individuals with I/DD or family members are both examples of peer support. </w:t>
      </w:r>
    </w:p>
    <w:p w14:paraId="0B549FCE" w14:textId="77777777" w:rsidR="0086756F" w:rsidRDefault="0086756F">
      <w:pPr>
        <w:widowControl/>
        <w:spacing w:line="276" w:lineRule="auto"/>
        <w:rPr>
          <w:rFonts w:ascii="Arial" w:eastAsia="Arial" w:hAnsi="Arial" w:cs="Arial"/>
          <w:b/>
          <w:sz w:val="24"/>
          <w:szCs w:val="24"/>
          <w:u w:val="single"/>
        </w:rPr>
      </w:pPr>
    </w:p>
    <w:p w14:paraId="48834B59" w14:textId="77777777" w:rsidR="0086756F" w:rsidRDefault="00B61B13">
      <w:pPr>
        <w:widowControl/>
        <w:rPr>
          <w:rFonts w:ascii="Arial" w:eastAsia="Arial" w:hAnsi="Arial" w:cs="Arial"/>
          <w:i/>
          <w:sz w:val="24"/>
          <w:szCs w:val="24"/>
          <w:u w:val="single"/>
        </w:rPr>
      </w:pPr>
      <w:r>
        <w:rPr>
          <w:rFonts w:ascii="Arial" w:eastAsia="Arial" w:hAnsi="Arial" w:cs="Arial"/>
          <w:i/>
          <w:sz w:val="24"/>
          <w:szCs w:val="24"/>
          <w:u w:val="single"/>
        </w:rPr>
        <w:t xml:space="preserve">What is Peer and Family Support? </w:t>
      </w:r>
    </w:p>
    <w:p w14:paraId="6FEE60EF" w14:textId="77777777" w:rsidR="0086756F" w:rsidRDefault="00B61B13">
      <w:pPr>
        <w:widowControl/>
        <w:numPr>
          <w:ilvl w:val="0"/>
          <w:numId w:val="6"/>
        </w:numPr>
        <w:rPr>
          <w:rFonts w:ascii="Arial" w:eastAsia="Arial" w:hAnsi="Arial" w:cs="Arial"/>
          <w:color w:val="0E101A"/>
          <w:sz w:val="24"/>
          <w:szCs w:val="24"/>
        </w:rPr>
      </w:pPr>
      <w:r>
        <w:rPr>
          <w:rFonts w:ascii="Arial" w:eastAsia="Arial" w:hAnsi="Arial" w:cs="Arial"/>
          <w:color w:val="0E101A"/>
          <w:sz w:val="24"/>
          <w:szCs w:val="24"/>
        </w:rPr>
        <w:t>Peer and family support is a range of activities and interactions between people who share similar experiences.</w:t>
      </w:r>
    </w:p>
    <w:p w14:paraId="2709953B" w14:textId="77777777" w:rsidR="0086756F" w:rsidRDefault="00B61B13">
      <w:pPr>
        <w:widowControl/>
        <w:numPr>
          <w:ilvl w:val="0"/>
          <w:numId w:val="6"/>
        </w:numPr>
        <w:rPr>
          <w:rFonts w:ascii="Arial" w:eastAsia="Arial" w:hAnsi="Arial" w:cs="Arial"/>
          <w:color w:val="0E101A"/>
          <w:sz w:val="24"/>
          <w:szCs w:val="24"/>
        </w:rPr>
      </w:pPr>
      <w:r>
        <w:rPr>
          <w:rFonts w:ascii="Arial" w:eastAsia="Arial" w:hAnsi="Arial" w:cs="Arial"/>
          <w:color w:val="0E101A"/>
          <w:sz w:val="24"/>
          <w:szCs w:val="24"/>
        </w:rPr>
        <w:t>Peer and family support offers a level of acceptance, understanding, and validation not found in many other professional relationships.</w:t>
      </w:r>
    </w:p>
    <w:p w14:paraId="35AEBB32" w14:textId="77777777" w:rsidR="0086756F" w:rsidRDefault="00B61B13">
      <w:pPr>
        <w:widowControl/>
        <w:numPr>
          <w:ilvl w:val="0"/>
          <w:numId w:val="6"/>
        </w:numPr>
        <w:rPr>
          <w:rFonts w:ascii="Arial" w:eastAsia="Arial" w:hAnsi="Arial" w:cs="Arial"/>
          <w:sz w:val="24"/>
          <w:szCs w:val="24"/>
        </w:rPr>
      </w:pPr>
      <w:r>
        <w:rPr>
          <w:rFonts w:ascii="Arial" w:eastAsia="Arial" w:hAnsi="Arial" w:cs="Arial"/>
          <w:color w:val="0E101A"/>
          <w:sz w:val="24"/>
          <w:szCs w:val="24"/>
        </w:rPr>
        <w:t>By sharing their own lived experience and practical guidance, family and peer support workers help people develop their own goals, create strategies for self‐empowerment, and take concrete steps towards building fulfilling, self‐determined lives.</w:t>
      </w:r>
    </w:p>
    <w:p w14:paraId="0B5040F0" w14:textId="77777777" w:rsidR="0086756F" w:rsidRDefault="00B61B13">
      <w:pPr>
        <w:widowControl/>
        <w:numPr>
          <w:ilvl w:val="0"/>
          <w:numId w:val="6"/>
        </w:numPr>
        <w:rPr>
          <w:rFonts w:ascii="Arial" w:eastAsia="Arial" w:hAnsi="Arial" w:cs="Arial"/>
          <w:sz w:val="24"/>
          <w:szCs w:val="24"/>
        </w:rPr>
      </w:pPr>
      <w:r>
        <w:rPr>
          <w:rFonts w:ascii="Arial" w:eastAsia="Arial" w:hAnsi="Arial" w:cs="Arial"/>
          <w:color w:val="0E101A"/>
          <w:sz w:val="24"/>
          <w:szCs w:val="24"/>
        </w:rPr>
        <w:t xml:space="preserve">The use of family members and people with I/DD to provide care extender services is a type of peer support. </w:t>
      </w:r>
    </w:p>
    <w:p w14:paraId="20D7ED83" w14:textId="77777777" w:rsidR="0086756F" w:rsidRDefault="0086756F">
      <w:pPr>
        <w:widowControl/>
        <w:ind w:left="720"/>
        <w:rPr>
          <w:rFonts w:ascii="Arial" w:eastAsia="Arial" w:hAnsi="Arial" w:cs="Arial"/>
          <w:color w:val="0E101A"/>
          <w:sz w:val="24"/>
          <w:szCs w:val="24"/>
        </w:rPr>
      </w:pPr>
    </w:p>
    <w:p w14:paraId="16BF8885" w14:textId="77777777" w:rsidR="0086756F" w:rsidRDefault="00B61B13">
      <w:pPr>
        <w:widowControl/>
        <w:rPr>
          <w:rFonts w:ascii="Arial" w:eastAsia="Arial" w:hAnsi="Arial" w:cs="Arial"/>
          <w:sz w:val="24"/>
          <w:szCs w:val="24"/>
        </w:rPr>
      </w:pPr>
      <w:r>
        <w:rPr>
          <w:rFonts w:ascii="Arial" w:eastAsia="Arial" w:hAnsi="Arial" w:cs="Arial"/>
          <w:sz w:val="24"/>
          <w:szCs w:val="24"/>
        </w:rPr>
        <w:t xml:space="preserve">This is a critical time to ensure these services for the I/DD community are part of Medicaid Transformation, the </w:t>
      </w:r>
      <w:proofErr w:type="gramStart"/>
      <w:r>
        <w:rPr>
          <w:rFonts w:ascii="Arial" w:eastAsia="Arial" w:hAnsi="Arial" w:cs="Arial"/>
          <w:sz w:val="24"/>
          <w:szCs w:val="24"/>
        </w:rPr>
        <w:t>1915(i) state</w:t>
      </w:r>
      <w:proofErr w:type="gramEnd"/>
      <w:r>
        <w:rPr>
          <w:rFonts w:ascii="Arial" w:eastAsia="Arial" w:hAnsi="Arial" w:cs="Arial"/>
          <w:sz w:val="24"/>
          <w:szCs w:val="24"/>
        </w:rPr>
        <w:t xml:space="preserve"> plan amendment, and the implementation of the Olmstead Plan. Family Navigation and Peer Support services can help reduce barriers to care, connect people to appropriate resources and supports in a timely manner, and empower people to make informed decisions. Families and peers are an untapped resource that can address growing workforce shortages.</w:t>
      </w:r>
    </w:p>
    <w:p w14:paraId="4CE50632" w14:textId="77777777" w:rsidR="0086756F" w:rsidRDefault="00B61B13">
      <w:pPr>
        <w:tabs>
          <w:tab w:val="left" w:pos="1248"/>
        </w:tabs>
        <w:rPr>
          <w:rFonts w:ascii="Arial" w:eastAsia="Arial" w:hAnsi="Arial" w:cs="Arial"/>
          <w:b/>
          <w:color w:val="FFFFFF"/>
          <w:sz w:val="24"/>
          <w:szCs w:val="24"/>
        </w:rPr>
      </w:pPr>
      <w:r>
        <w:rPr>
          <w:rFonts w:ascii="Arial" w:eastAsia="Arial" w:hAnsi="Arial" w:cs="Arial"/>
          <w:sz w:val="24"/>
          <w:szCs w:val="24"/>
        </w:rPr>
        <w:tab/>
      </w:r>
      <w:r>
        <w:rPr>
          <w:rFonts w:ascii="Arial" w:eastAsia="Arial" w:hAnsi="Arial" w:cs="Arial"/>
          <w:b/>
          <w:color w:val="FFFFFF"/>
          <w:sz w:val="24"/>
          <w:szCs w:val="24"/>
        </w:rPr>
        <w:t>Description of Activities</w:t>
      </w:r>
      <w:r>
        <w:rPr>
          <w:noProof/>
        </w:rPr>
        <mc:AlternateContent>
          <mc:Choice Requires="wps">
            <w:drawing>
              <wp:anchor distT="0" distB="0" distL="114300" distR="114300" simplePos="0" relativeHeight="251662336" behindDoc="0" locked="0" layoutInCell="1" hidden="0" allowOverlap="1" wp14:anchorId="7D24761F" wp14:editId="7AD47DEB">
                <wp:simplePos x="0" y="0"/>
                <wp:positionH relativeFrom="column">
                  <wp:posOffset>1</wp:posOffset>
                </wp:positionH>
                <wp:positionV relativeFrom="paragraph">
                  <wp:posOffset>127000</wp:posOffset>
                </wp:positionV>
                <wp:extent cx="7133806" cy="399493"/>
                <wp:effectExtent l="0" t="0" r="0" b="0"/>
                <wp:wrapNone/>
                <wp:docPr id="14" name="Rectangle 14"/>
                <wp:cNvGraphicFramePr/>
                <a:graphic xmlns:a="http://schemas.openxmlformats.org/drawingml/2006/main">
                  <a:graphicData uri="http://schemas.microsoft.com/office/word/2010/wordprocessingShape">
                    <wps:wsp>
                      <wps:cNvSpPr/>
                      <wps:spPr>
                        <a:xfrm>
                          <a:off x="1783860" y="3589082"/>
                          <a:ext cx="7124281" cy="381837"/>
                        </a:xfrm>
                        <a:prstGeom prst="rect">
                          <a:avLst/>
                        </a:prstGeom>
                        <a:solidFill>
                          <a:srgbClr val="0075C9"/>
                        </a:solidFill>
                        <a:ln>
                          <a:noFill/>
                        </a:ln>
                      </wps:spPr>
                      <wps:txbx>
                        <w:txbxContent>
                          <w:p w14:paraId="2AEE56AF" w14:textId="77777777" w:rsidR="0086756F" w:rsidRDefault="00B61B13">
                            <w:pPr>
                              <w:jc w:val="center"/>
                              <w:textDirection w:val="btLr"/>
                            </w:pPr>
                            <w:r>
                              <w:rPr>
                                <w:rFonts w:ascii="Arial" w:eastAsia="Arial" w:hAnsi="Arial" w:cs="Arial"/>
                                <w:b/>
                                <w:color w:val="FFFFFF"/>
                                <w:sz w:val="24"/>
                              </w:rPr>
                              <w:t>Description of Activities</w:t>
                            </w:r>
                          </w:p>
                        </w:txbxContent>
                      </wps:txbx>
                      <wps:bodyPr spcFirstLastPara="1" wrap="square" lIns="91425" tIns="45700" rIns="91425" bIns="45700" anchor="ctr" anchorCtr="0">
                        <a:noAutofit/>
                      </wps:bodyPr>
                    </wps:wsp>
                  </a:graphicData>
                </a:graphic>
              </wp:anchor>
            </w:drawing>
          </mc:Choice>
          <mc:Fallback>
            <w:pict>
              <v:rect w14:anchorId="7D24761F" id="Rectangle 14" o:spid="_x0000_s1033" style="position:absolute;margin-left:0;margin-top:10pt;width:561.7pt;height:3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" fillcolor="#0075c9" stroked="f">
                <v:textbox inset="2.53958mm,1.2694mm,2.53958mm,1.2694mm">
                  <w:txbxContent>
                    <w:p w14:paraId="2AEE56AF" w14:textId="77777777" w:rsidR="0086756F" w:rsidRDefault="00B61B13">
                      <w:pPr>
                        <w:jc w:val="center"/>
                        <w:textDirection w:val="btLr"/>
                      </w:pPr>
                      <w:r>
                        <w:rPr>
                          <w:rFonts w:ascii="Arial" w:eastAsia="Arial" w:hAnsi="Arial" w:cs="Arial"/>
                          <w:b/>
                          <w:color w:val="FFFFFF"/>
                          <w:sz w:val="24"/>
                        </w:rPr>
                        <w:t>Description of Activities</w:t>
                      </w:r>
                    </w:p>
                  </w:txbxContent>
                </v:textbox>
              </v:rect>
            </w:pict>
          </mc:Fallback>
        </mc:AlternateContent>
      </w:r>
    </w:p>
    <w:p w14:paraId="092B88A1" w14:textId="77777777" w:rsidR="0086756F" w:rsidRDefault="0086756F">
      <w:pPr>
        <w:rPr>
          <w:rFonts w:ascii="Arial" w:eastAsia="Arial" w:hAnsi="Arial" w:cs="Arial"/>
          <w:sz w:val="24"/>
          <w:szCs w:val="24"/>
        </w:rPr>
      </w:pPr>
    </w:p>
    <w:p w14:paraId="66254182" w14:textId="77777777" w:rsidR="0086756F" w:rsidRDefault="0086756F">
      <w:pPr>
        <w:rPr>
          <w:rFonts w:ascii="Arial" w:eastAsia="Arial" w:hAnsi="Arial" w:cs="Arial"/>
          <w:sz w:val="24"/>
          <w:szCs w:val="24"/>
        </w:rPr>
      </w:pPr>
    </w:p>
    <w:p w14:paraId="3E4EFAD5" w14:textId="77777777" w:rsidR="0086756F" w:rsidRDefault="0086756F">
      <w:pPr>
        <w:widowControl/>
        <w:spacing w:line="276" w:lineRule="auto"/>
        <w:rPr>
          <w:rFonts w:ascii="Arial" w:eastAsia="Arial" w:hAnsi="Arial" w:cs="Arial"/>
          <w:sz w:val="12"/>
          <w:szCs w:val="12"/>
        </w:rPr>
      </w:pPr>
    </w:p>
    <w:p w14:paraId="76F998B7" w14:textId="77777777" w:rsidR="0086756F" w:rsidRDefault="00B61B13">
      <w:pPr>
        <w:widowControl/>
        <w:rPr>
          <w:rFonts w:ascii="Arial" w:eastAsia="Arial" w:hAnsi="Arial" w:cs="Arial"/>
          <w:sz w:val="24"/>
          <w:szCs w:val="24"/>
        </w:rPr>
      </w:pPr>
      <w:r>
        <w:rPr>
          <w:rFonts w:ascii="Arial" w:eastAsia="Arial" w:hAnsi="Arial" w:cs="Arial"/>
          <w:sz w:val="24"/>
          <w:szCs w:val="24"/>
        </w:rPr>
        <w:t>To support the use of Care Extenders for the I/DD population in NC, Community Bridges Consulting Group proposes the following project to identify the challenges of adopting the Care Extender service definitions. After identifying the challenges, organizations and stakeholders can work collectively to address them to ensure that Care Extenders are used adequately for the I/DD population.</w:t>
      </w:r>
    </w:p>
    <w:p w14:paraId="60648E6D" w14:textId="77777777" w:rsidR="0086756F" w:rsidRDefault="0086756F">
      <w:pPr>
        <w:widowControl/>
        <w:rPr>
          <w:rFonts w:ascii="Arial" w:eastAsia="Arial" w:hAnsi="Arial" w:cs="Arial"/>
          <w:sz w:val="24"/>
          <w:szCs w:val="24"/>
        </w:rPr>
      </w:pPr>
    </w:p>
    <w:p w14:paraId="0CB8E5CF" w14:textId="77777777" w:rsidR="0086756F" w:rsidRDefault="00B61B13">
      <w:pPr>
        <w:widowControl/>
        <w:rPr>
          <w:rFonts w:ascii="Arial" w:eastAsia="Arial" w:hAnsi="Arial" w:cs="Arial"/>
          <w:sz w:val="24"/>
          <w:szCs w:val="24"/>
        </w:rPr>
      </w:pPr>
      <w:r>
        <w:rPr>
          <w:rFonts w:ascii="Arial" w:eastAsia="Arial" w:hAnsi="Arial" w:cs="Arial"/>
          <w:sz w:val="24"/>
          <w:szCs w:val="24"/>
        </w:rPr>
        <w:t xml:space="preserve">To enable this, we propose the following: </w:t>
      </w:r>
    </w:p>
    <w:p w14:paraId="2C54F37E" w14:textId="77777777" w:rsidR="0086756F" w:rsidRDefault="00B61B13" w:rsidP="0090764E">
      <w:pPr>
        <w:widowControl/>
        <w:numPr>
          <w:ilvl w:val="0"/>
          <w:numId w:val="9"/>
        </w:numPr>
        <w:rPr>
          <w:rFonts w:ascii="Arial" w:eastAsia="Arial" w:hAnsi="Arial" w:cs="Arial"/>
          <w:sz w:val="24"/>
          <w:szCs w:val="24"/>
        </w:rPr>
      </w:pPr>
      <w:r>
        <w:rPr>
          <w:rFonts w:ascii="Arial" w:eastAsia="Arial" w:hAnsi="Arial" w:cs="Arial"/>
          <w:sz w:val="24"/>
          <w:szCs w:val="24"/>
        </w:rPr>
        <w:t>Develop a methodology for and performing an environmental scan; and,</w:t>
      </w:r>
    </w:p>
    <w:p w14:paraId="520DF294" w14:textId="77777777" w:rsidR="0086756F" w:rsidRDefault="00B61B13" w:rsidP="0090764E">
      <w:pPr>
        <w:widowControl/>
        <w:numPr>
          <w:ilvl w:val="0"/>
          <w:numId w:val="9"/>
        </w:numPr>
        <w:spacing w:after="20"/>
        <w:rPr>
          <w:rFonts w:ascii="Arial" w:eastAsia="Arial" w:hAnsi="Arial" w:cs="Arial"/>
          <w:sz w:val="24"/>
          <w:szCs w:val="24"/>
        </w:rPr>
      </w:pPr>
      <w:r>
        <w:rPr>
          <w:rFonts w:ascii="Arial" w:eastAsia="Arial" w:hAnsi="Arial" w:cs="Arial"/>
          <w:sz w:val="24"/>
          <w:szCs w:val="24"/>
        </w:rPr>
        <w:lastRenderedPageBreak/>
        <w:t xml:space="preserve">Develop a White Paper summarizing findings and providing </w:t>
      </w:r>
      <w:r>
        <w:rPr>
          <w:rFonts w:ascii="Arial" w:eastAsia="Arial" w:hAnsi="Arial" w:cs="Arial"/>
          <w:b/>
          <w:sz w:val="24"/>
          <w:szCs w:val="24"/>
        </w:rPr>
        <w:t>strategic recommendations to bolster the usage of Care Extenders for the I/DD population.</w:t>
      </w:r>
    </w:p>
    <w:p w14:paraId="7C1FEE61" w14:textId="77777777" w:rsidR="0086756F" w:rsidRDefault="0086756F">
      <w:pPr>
        <w:widowControl/>
        <w:rPr>
          <w:rFonts w:ascii="Arial" w:eastAsia="Arial" w:hAnsi="Arial" w:cs="Arial"/>
          <w:sz w:val="24"/>
          <w:szCs w:val="24"/>
        </w:rPr>
      </w:pPr>
    </w:p>
    <w:p w14:paraId="7008FE8A" w14:textId="77777777" w:rsidR="0086756F" w:rsidRDefault="00B61B13">
      <w:pPr>
        <w:widowControl/>
        <w:rPr>
          <w:rFonts w:ascii="Arial" w:eastAsia="Arial" w:hAnsi="Arial" w:cs="Arial"/>
          <w:sz w:val="24"/>
          <w:szCs w:val="24"/>
        </w:rPr>
      </w:pPr>
      <w:r>
        <w:rPr>
          <w:rFonts w:ascii="Arial" w:eastAsia="Arial" w:hAnsi="Arial" w:cs="Arial"/>
          <w:sz w:val="24"/>
          <w:szCs w:val="24"/>
        </w:rPr>
        <w:t xml:space="preserve">To successfully implement this, the following tasks will take place: </w:t>
      </w:r>
    </w:p>
    <w:p w14:paraId="2419E55A"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Hire a family member and a self-advocate to serve on the core project team.</w:t>
      </w:r>
    </w:p>
    <w:p w14:paraId="108072DB"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Identify key sectors and stakeholders</w:t>
      </w:r>
      <w:r>
        <w:rPr>
          <w:rFonts w:ascii="Arial" w:eastAsia="Arial" w:hAnsi="Arial" w:cs="Arial"/>
          <w:i/>
          <w:sz w:val="24"/>
          <w:szCs w:val="24"/>
        </w:rPr>
        <w:t xml:space="preserve"> </w:t>
      </w:r>
      <w:r>
        <w:rPr>
          <w:rFonts w:ascii="Arial" w:eastAsia="Arial" w:hAnsi="Arial" w:cs="Arial"/>
          <w:sz w:val="24"/>
          <w:szCs w:val="24"/>
        </w:rPr>
        <w:t>impacted by care management and integrated care.</w:t>
      </w:r>
    </w:p>
    <w:p w14:paraId="2AC30823"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Develop an interview guide.</w:t>
      </w:r>
    </w:p>
    <w:p w14:paraId="171BF29F"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Conduct interviews.</w:t>
      </w:r>
    </w:p>
    <w:p w14:paraId="26377150"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Review information with the project Advisory Committee.</w:t>
      </w:r>
    </w:p>
    <w:p w14:paraId="3802E2B4"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Analyze themes within sectors and across groups.</w:t>
      </w:r>
    </w:p>
    <w:p w14:paraId="61BFE8A8"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Identify current use of family navigation and support and peer support within NC.</w:t>
      </w:r>
    </w:p>
    <w:p w14:paraId="1A4D69FF" w14:textId="77777777" w:rsidR="0086756F" w:rsidRDefault="00B61B13">
      <w:pPr>
        <w:widowControl/>
        <w:numPr>
          <w:ilvl w:val="0"/>
          <w:numId w:val="3"/>
        </w:numPr>
        <w:rPr>
          <w:rFonts w:ascii="Arial" w:eastAsia="Arial" w:hAnsi="Arial" w:cs="Arial"/>
          <w:sz w:val="24"/>
          <w:szCs w:val="24"/>
        </w:rPr>
      </w:pPr>
      <w:r>
        <w:rPr>
          <w:rFonts w:ascii="Arial" w:eastAsia="Arial" w:hAnsi="Arial" w:cs="Arial"/>
          <w:sz w:val="24"/>
          <w:szCs w:val="24"/>
        </w:rPr>
        <w:t>Compile best practice information from other states.</w:t>
      </w:r>
    </w:p>
    <w:p w14:paraId="26E823DF" w14:textId="77777777" w:rsidR="0086756F" w:rsidRDefault="00B61B13">
      <w:pPr>
        <w:widowControl/>
        <w:numPr>
          <w:ilvl w:val="0"/>
          <w:numId w:val="8"/>
        </w:numPr>
        <w:rPr>
          <w:rFonts w:ascii="Arial" w:eastAsia="Arial" w:hAnsi="Arial" w:cs="Arial"/>
          <w:sz w:val="24"/>
          <w:szCs w:val="24"/>
        </w:rPr>
      </w:pPr>
      <w:r>
        <w:rPr>
          <w:rFonts w:ascii="Arial" w:eastAsia="Arial" w:hAnsi="Arial" w:cs="Arial"/>
          <w:sz w:val="24"/>
          <w:szCs w:val="24"/>
        </w:rPr>
        <w:t xml:space="preserve">Identify potential sources of recruitment for family navigation and peer support. </w:t>
      </w:r>
    </w:p>
    <w:p w14:paraId="32B4D963" w14:textId="77777777" w:rsidR="0086756F" w:rsidRDefault="00B61B13">
      <w:pPr>
        <w:widowControl/>
        <w:numPr>
          <w:ilvl w:val="0"/>
          <w:numId w:val="8"/>
        </w:numPr>
        <w:rPr>
          <w:rFonts w:ascii="Arial" w:eastAsia="Arial" w:hAnsi="Arial" w:cs="Arial"/>
          <w:sz w:val="24"/>
          <w:szCs w:val="24"/>
        </w:rPr>
      </w:pPr>
      <w:r>
        <w:rPr>
          <w:rFonts w:ascii="Arial" w:eastAsia="Arial" w:hAnsi="Arial" w:cs="Arial"/>
          <w:sz w:val="24"/>
          <w:szCs w:val="24"/>
        </w:rPr>
        <w:t>Identify how care management extenders align with NCCDD projects and NCDHHS initiatives, including the focus on health equity.</w:t>
      </w:r>
    </w:p>
    <w:p w14:paraId="5F04675B" w14:textId="77777777" w:rsidR="0086756F" w:rsidRDefault="0086756F">
      <w:pPr>
        <w:widowControl/>
        <w:pBdr>
          <w:top w:val="nil"/>
          <w:left w:val="nil"/>
          <w:bottom w:val="nil"/>
          <w:right w:val="nil"/>
          <w:between w:val="nil"/>
        </w:pBdr>
        <w:rPr>
          <w:rFonts w:ascii="Arial" w:eastAsia="Arial" w:hAnsi="Arial" w:cs="Arial"/>
          <w:sz w:val="24"/>
          <w:szCs w:val="24"/>
        </w:rPr>
      </w:pPr>
    </w:p>
    <w:p w14:paraId="46FDF755" w14:textId="77777777" w:rsidR="0086756F" w:rsidRDefault="0086756F">
      <w:pPr>
        <w:pBdr>
          <w:top w:val="nil"/>
          <w:left w:val="nil"/>
          <w:bottom w:val="nil"/>
          <w:right w:val="nil"/>
          <w:between w:val="nil"/>
        </w:pBdr>
        <w:ind w:left="855"/>
        <w:rPr>
          <w:rFonts w:ascii="Arial" w:eastAsia="Arial" w:hAnsi="Arial" w:cs="Arial"/>
          <w:color w:val="000000"/>
          <w:sz w:val="24"/>
          <w:szCs w:val="24"/>
        </w:rPr>
      </w:pPr>
    </w:p>
    <w:p w14:paraId="18065997" w14:textId="77777777" w:rsidR="0086756F" w:rsidRDefault="00B61B13">
      <w:pPr>
        <w:widowControl/>
        <w:spacing w:before="240"/>
        <w:ind w:left="360" w:right="388"/>
        <w:rPr>
          <w:rFonts w:ascii="Arial" w:eastAsia="Arial" w:hAnsi="Arial" w:cs="Arial"/>
          <w:sz w:val="24"/>
          <w:szCs w:val="24"/>
        </w:rPr>
      </w:pPr>
      <w:r>
        <w:rPr>
          <w:noProof/>
        </w:rPr>
        <mc:AlternateContent>
          <mc:Choice Requires="wps">
            <w:drawing>
              <wp:anchor distT="0" distB="0" distL="114300" distR="114300" simplePos="0" relativeHeight="251663360" behindDoc="0" locked="0" layoutInCell="1" hidden="0" allowOverlap="1" wp14:anchorId="44EF878C" wp14:editId="342FE458">
                <wp:simplePos x="0" y="0"/>
                <wp:positionH relativeFrom="column">
                  <wp:posOffset>1</wp:posOffset>
                </wp:positionH>
                <wp:positionV relativeFrom="paragraph">
                  <wp:posOffset>0</wp:posOffset>
                </wp:positionV>
                <wp:extent cx="7133806" cy="399493"/>
                <wp:effectExtent l="0" t="0" r="0" b="0"/>
                <wp:wrapNone/>
                <wp:docPr id="16" name="Rectangle 16"/>
                <wp:cNvGraphicFramePr/>
                <a:graphic xmlns:a="http://schemas.openxmlformats.org/drawingml/2006/main">
                  <a:graphicData uri="http://schemas.microsoft.com/office/word/2010/wordprocessingShape">
                    <wps:wsp>
                      <wps:cNvSpPr/>
                      <wps:spPr>
                        <a:xfrm>
                          <a:off x="1783860" y="3589082"/>
                          <a:ext cx="7124281" cy="381837"/>
                        </a:xfrm>
                        <a:prstGeom prst="rect">
                          <a:avLst/>
                        </a:prstGeom>
                        <a:solidFill>
                          <a:srgbClr val="0075C9"/>
                        </a:solidFill>
                        <a:ln>
                          <a:noFill/>
                        </a:ln>
                      </wps:spPr>
                      <wps:txbx>
                        <w:txbxContent>
                          <w:p w14:paraId="19A0829B" w14:textId="77777777" w:rsidR="0086756F" w:rsidRDefault="00B61B13">
                            <w:pPr>
                              <w:jc w:val="center"/>
                              <w:textDirection w:val="btLr"/>
                            </w:pPr>
                            <w:r>
                              <w:rPr>
                                <w:rFonts w:ascii="Arial" w:eastAsia="Arial" w:hAnsi="Arial" w:cs="Arial"/>
                                <w:b/>
                                <w:color w:val="FFFFFF"/>
                                <w:sz w:val="24"/>
                              </w:rPr>
                              <w:t>Achievements and Outcomes Expected</w:t>
                            </w:r>
                          </w:p>
                        </w:txbxContent>
                      </wps:txbx>
                      <wps:bodyPr spcFirstLastPara="1" wrap="square" lIns="91425" tIns="45700" rIns="91425" bIns="45700" anchor="ctr" anchorCtr="0">
                        <a:noAutofit/>
                      </wps:bodyPr>
                    </wps:wsp>
                  </a:graphicData>
                </a:graphic>
              </wp:anchor>
            </w:drawing>
          </mc:Choice>
          <mc:Fallback>
            <w:pict>
              <v:rect w14:anchorId="44EF878C" id="Rectangle 16" o:spid="_x0000_s1034" style="position:absolute;left:0;text-align:left;margin-left:0;margin-top:0;width:561.7pt;height:3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" fillcolor="#0075c9" stroked="f">
                <v:textbox inset="2.53958mm,1.2694mm,2.53958mm,1.2694mm">
                  <w:txbxContent>
                    <w:p w14:paraId="19A0829B" w14:textId="77777777" w:rsidR="0086756F" w:rsidRDefault="00B61B13">
                      <w:pPr>
                        <w:jc w:val="center"/>
                        <w:textDirection w:val="btLr"/>
                      </w:pPr>
                      <w:r>
                        <w:rPr>
                          <w:rFonts w:ascii="Arial" w:eastAsia="Arial" w:hAnsi="Arial" w:cs="Arial"/>
                          <w:b/>
                          <w:color w:val="FFFFFF"/>
                          <w:sz w:val="24"/>
                        </w:rPr>
                        <w:t>Achievements and Outcomes Expected</w:t>
                      </w:r>
                    </w:p>
                  </w:txbxContent>
                </v:textbox>
              </v:rect>
            </w:pict>
          </mc:Fallback>
        </mc:AlternateContent>
      </w:r>
    </w:p>
    <w:p w14:paraId="46A7A3F0" w14:textId="77777777" w:rsidR="0086756F" w:rsidRDefault="0086756F">
      <w:pPr>
        <w:widowControl/>
        <w:spacing w:line="276" w:lineRule="auto"/>
        <w:rPr>
          <w:rFonts w:ascii="Arial" w:eastAsia="Arial" w:hAnsi="Arial" w:cs="Arial"/>
          <w:sz w:val="24"/>
          <w:szCs w:val="24"/>
        </w:rPr>
      </w:pPr>
    </w:p>
    <w:p w14:paraId="2848FCDD" w14:textId="77777777" w:rsidR="0086756F" w:rsidRDefault="00B61B13">
      <w:pPr>
        <w:widowControl/>
        <w:rPr>
          <w:rFonts w:ascii="Arial" w:eastAsia="Arial" w:hAnsi="Arial" w:cs="Arial"/>
          <w:sz w:val="24"/>
          <w:szCs w:val="24"/>
        </w:rPr>
      </w:pPr>
      <w:r>
        <w:rPr>
          <w:rFonts w:ascii="Arial" w:eastAsia="Arial" w:hAnsi="Arial" w:cs="Arial"/>
          <w:sz w:val="24"/>
          <w:szCs w:val="24"/>
        </w:rPr>
        <w:t xml:space="preserve">Following the interviews and research, CBCG staff will compile the information and data collected into a comprehensive report of findings.  The report will include key takeaways from participant communication, notable areas of concern or focus, and opportunities for collaboration. The report will include: </w:t>
      </w:r>
    </w:p>
    <w:p w14:paraId="1319797D" w14:textId="77777777" w:rsidR="0086756F" w:rsidRDefault="00B61B13">
      <w:pPr>
        <w:widowControl/>
        <w:rPr>
          <w:rFonts w:ascii="Arial" w:eastAsia="Arial" w:hAnsi="Arial" w:cs="Arial"/>
          <w:b/>
          <w:sz w:val="24"/>
          <w:szCs w:val="24"/>
        </w:rPr>
      </w:pPr>
      <w:r>
        <w:rPr>
          <w:rFonts w:ascii="Arial" w:eastAsia="Arial" w:hAnsi="Arial" w:cs="Arial"/>
          <w:b/>
          <w:sz w:val="24"/>
          <w:szCs w:val="24"/>
        </w:rPr>
        <w:t xml:space="preserve"> </w:t>
      </w:r>
    </w:p>
    <w:p w14:paraId="535663A9" w14:textId="77777777" w:rsidR="0086756F" w:rsidRDefault="00B61B13">
      <w:pPr>
        <w:widowControl/>
        <w:numPr>
          <w:ilvl w:val="0"/>
          <w:numId w:val="7"/>
        </w:numPr>
        <w:rPr>
          <w:rFonts w:ascii="Arial" w:eastAsia="Arial" w:hAnsi="Arial" w:cs="Arial"/>
          <w:sz w:val="24"/>
          <w:szCs w:val="24"/>
        </w:rPr>
      </w:pPr>
      <w:r>
        <w:rPr>
          <w:rFonts w:ascii="Arial" w:eastAsia="Arial" w:hAnsi="Arial" w:cs="Arial"/>
          <w:sz w:val="24"/>
          <w:szCs w:val="24"/>
        </w:rPr>
        <w:t>Strategic recommendations for short term, midterm and long-term implementation of family navigation and peer support in the proposed Care Extender definition with a focus on scalability and sustainability.</w:t>
      </w:r>
    </w:p>
    <w:p w14:paraId="343A2D87" w14:textId="77777777" w:rsidR="0086756F" w:rsidRDefault="00B61B13">
      <w:pPr>
        <w:widowControl/>
        <w:numPr>
          <w:ilvl w:val="0"/>
          <w:numId w:val="7"/>
        </w:numPr>
        <w:rPr>
          <w:rFonts w:ascii="Arial" w:eastAsia="Arial" w:hAnsi="Arial" w:cs="Arial"/>
          <w:sz w:val="24"/>
          <w:szCs w:val="24"/>
        </w:rPr>
      </w:pPr>
      <w:r>
        <w:rPr>
          <w:rFonts w:ascii="Arial" w:eastAsia="Arial" w:hAnsi="Arial" w:cs="Arial"/>
          <w:sz w:val="24"/>
          <w:szCs w:val="24"/>
        </w:rPr>
        <w:t>Identification of policies that support and limit family navigation and peer support in the Care Extender definition.</w:t>
      </w:r>
    </w:p>
    <w:p w14:paraId="36F1536F" w14:textId="77777777" w:rsidR="0086756F" w:rsidRDefault="00B61B13">
      <w:pPr>
        <w:widowControl/>
        <w:numPr>
          <w:ilvl w:val="0"/>
          <w:numId w:val="7"/>
        </w:numPr>
        <w:rPr>
          <w:rFonts w:ascii="Arial" w:eastAsia="Arial" w:hAnsi="Arial" w:cs="Arial"/>
          <w:sz w:val="24"/>
          <w:szCs w:val="24"/>
        </w:rPr>
      </w:pPr>
      <w:r>
        <w:rPr>
          <w:rFonts w:ascii="Arial" w:eastAsia="Arial" w:hAnsi="Arial" w:cs="Arial"/>
          <w:sz w:val="24"/>
          <w:szCs w:val="24"/>
        </w:rPr>
        <w:t>Identification of changes in practices that promote statewide adoption of family and peers as care extenders.</w:t>
      </w:r>
    </w:p>
    <w:p w14:paraId="631A966C" w14:textId="77777777" w:rsidR="0086756F" w:rsidRDefault="00B61B13">
      <w:pPr>
        <w:widowControl/>
        <w:numPr>
          <w:ilvl w:val="0"/>
          <w:numId w:val="7"/>
        </w:numPr>
        <w:rPr>
          <w:rFonts w:ascii="Arial" w:eastAsia="Arial" w:hAnsi="Arial" w:cs="Arial"/>
          <w:sz w:val="24"/>
          <w:szCs w:val="24"/>
        </w:rPr>
      </w:pPr>
      <w:r>
        <w:rPr>
          <w:rFonts w:ascii="Arial" w:eastAsia="Arial" w:hAnsi="Arial" w:cs="Arial"/>
          <w:sz w:val="24"/>
          <w:szCs w:val="24"/>
        </w:rPr>
        <w:t>Real-life vignettes that illustrate the role of family navigation and peer support can have in achieving valued outcomes and how they align with valued-based care and reimbursement.</w:t>
      </w:r>
    </w:p>
    <w:p w14:paraId="0E09A9EB" w14:textId="77777777" w:rsidR="0086756F" w:rsidRDefault="0086756F">
      <w:pPr>
        <w:widowControl/>
        <w:pBdr>
          <w:top w:val="nil"/>
          <w:left w:val="nil"/>
          <w:bottom w:val="nil"/>
          <w:right w:val="nil"/>
          <w:between w:val="nil"/>
        </w:pBdr>
        <w:spacing w:after="120"/>
        <w:ind w:right="388"/>
        <w:rPr>
          <w:rFonts w:ascii="Arial" w:eastAsia="Arial" w:hAnsi="Arial" w:cs="Arial"/>
          <w:sz w:val="24"/>
          <w:szCs w:val="24"/>
        </w:rPr>
      </w:pPr>
    </w:p>
    <w:p w14:paraId="23C85971" w14:textId="77777777" w:rsidR="0086756F" w:rsidRDefault="00B61B13">
      <w:pPr>
        <w:widowControl/>
        <w:pBdr>
          <w:top w:val="nil"/>
          <w:left w:val="nil"/>
          <w:bottom w:val="nil"/>
          <w:right w:val="nil"/>
          <w:between w:val="nil"/>
        </w:pBdr>
        <w:spacing w:after="120"/>
        <w:ind w:right="388"/>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2C57DFAF" wp14:editId="422CFCA3">
                <wp:simplePos x="0" y="0"/>
                <wp:positionH relativeFrom="column">
                  <wp:posOffset>67095</wp:posOffset>
                </wp:positionH>
                <wp:positionV relativeFrom="paragraph">
                  <wp:posOffset>0</wp:posOffset>
                </wp:positionV>
                <wp:extent cx="7133806" cy="399493"/>
                <wp:effectExtent l="0" t="0" r="0" b="0"/>
                <wp:wrapNone/>
                <wp:docPr id="15" name="Rectangle 15"/>
                <wp:cNvGraphicFramePr/>
                <a:graphic xmlns:a="http://schemas.openxmlformats.org/drawingml/2006/main">
                  <a:graphicData uri="http://schemas.microsoft.com/office/word/2010/wordprocessingShape">
                    <wps:wsp>
                      <wps:cNvSpPr/>
                      <wps:spPr>
                        <a:xfrm>
                          <a:off x="1783860" y="3589082"/>
                          <a:ext cx="7124281" cy="381837"/>
                        </a:xfrm>
                        <a:prstGeom prst="rect">
                          <a:avLst/>
                        </a:prstGeom>
                        <a:solidFill>
                          <a:srgbClr val="0075C9"/>
                        </a:solidFill>
                        <a:ln>
                          <a:noFill/>
                        </a:ln>
                      </wps:spPr>
                      <wps:txbx>
                        <w:txbxContent>
                          <w:p w14:paraId="6A603070" w14:textId="77777777" w:rsidR="0086756F" w:rsidRDefault="00B61B13">
                            <w:pPr>
                              <w:jc w:val="center"/>
                              <w:textDirection w:val="btLr"/>
                            </w:pPr>
                            <w:r>
                              <w:rPr>
                                <w:rFonts w:ascii="Arial" w:eastAsia="Arial" w:hAnsi="Arial" w:cs="Arial"/>
                                <w:b/>
                                <w:color w:val="FFFFFF"/>
                                <w:sz w:val="24"/>
                              </w:rPr>
                              <w:t>Funding Request</w:t>
                            </w:r>
                          </w:p>
                        </w:txbxContent>
                      </wps:txbx>
                      <wps:bodyPr spcFirstLastPara="1" wrap="square" lIns="91425" tIns="45700" rIns="91425" bIns="45700" anchor="ctr" anchorCtr="0">
                        <a:noAutofit/>
                      </wps:bodyPr>
                    </wps:wsp>
                  </a:graphicData>
                </a:graphic>
              </wp:anchor>
            </w:drawing>
          </mc:Choice>
          <mc:Fallback>
            <w:pict>
              <v:rect w14:anchorId="2C57DFAF" id="Rectangle 15" o:spid="_x0000_s1035" style="position:absolute;margin-left:5.3pt;margin-top:0;width:561.7pt;height:3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" fillcolor="#0075c9" stroked="f">
                <v:textbox inset="2.53958mm,1.2694mm,2.53958mm,1.2694mm">
                  <w:txbxContent>
                    <w:p w14:paraId="6A603070" w14:textId="77777777" w:rsidR="0086756F" w:rsidRDefault="00B61B13">
                      <w:pPr>
                        <w:jc w:val="center"/>
                        <w:textDirection w:val="btLr"/>
                      </w:pPr>
                      <w:r>
                        <w:rPr>
                          <w:rFonts w:ascii="Arial" w:eastAsia="Arial" w:hAnsi="Arial" w:cs="Arial"/>
                          <w:b/>
                          <w:color w:val="FFFFFF"/>
                          <w:sz w:val="24"/>
                        </w:rPr>
                        <w:t>Funding Request</w:t>
                      </w:r>
                    </w:p>
                  </w:txbxContent>
                </v:textbox>
              </v:rect>
            </w:pict>
          </mc:Fallback>
        </mc:AlternateContent>
      </w:r>
    </w:p>
    <w:p w14:paraId="581BF8F3" w14:textId="77777777" w:rsidR="0086756F" w:rsidRDefault="0086756F">
      <w:pPr>
        <w:widowControl/>
        <w:pBdr>
          <w:top w:val="nil"/>
          <w:left w:val="nil"/>
          <w:bottom w:val="nil"/>
          <w:right w:val="nil"/>
          <w:between w:val="nil"/>
        </w:pBdr>
        <w:spacing w:after="120"/>
        <w:ind w:right="388"/>
        <w:rPr>
          <w:rFonts w:ascii="Arial" w:eastAsia="Arial" w:hAnsi="Arial" w:cs="Arial"/>
          <w:sz w:val="24"/>
          <w:szCs w:val="24"/>
        </w:rPr>
      </w:pPr>
    </w:p>
    <w:p w14:paraId="442A6542" w14:textId="77777777" w:rsidR="0086756F" w:rsidRDefault="00B61B13">
      <w:pPr>
        <w:widowControl/>
        <w:spacing w:after="60"/>
        <w:rPr>
          <w:rFonts w:ascii="Arial" w:eastAsia="Arial" w:hAnsi="Arial" w:cs="Arial"/>
          <w:sz w:val="24"/>
          <w:szCs w:val="24"/>
        </w:rPr>
      </w:pPr>
      <w:r>
        <w:rPr>
          <w:sz w:val="24"/>
          <w:szCs w:val="24"/>
        </w:rPr>
        <w:t xml:space="preserve">Community Bridges Consulting Group is seeking funding for the </w:t>
      </w:r>
      <w:r>
        <w:rPr>
          <w:i/>
          <w:sz w:val="24"/>
          <w:szCs w:val="24"/>
        </w:rPr>
        <w:t>Care Extender White Paper</w:t>
      </w:r>
      <w:r>
        <w:rPr>
          <w:sz w:val="24"/>
          <w:szCs w:val="24"/>
        </w:rPr>
        <w:t xml:space="preserve"> project</w:t>
      </w:r>
      <w:r>
        <w:rPr>
          <w:i/>
          <w:sz w:val="24"/>
          <w:szCs w:val="24"/>
        </w:rPr>
        <w:t xml:space="preserve"> </w:t>
      </w:r>
      <w:r>
        <w:rPr>
          <w:sz w:val="24"/>
          <w:szCs w:val="24"/>
          <w:highlight w:val="white"/>
        </w:rPr>
        <w:t xml:space="preserve">in an amount up to $30,000, with a required minimum of 25% non-federal matching funds.  </w:t>
      </w:r>
    </w:p>
    <w:p w14:paraId="297B6CCB" w14:textId="77777777" w:rsidR="0086756F" w:rsidRDefault="00B61B13">
      <w:pPr>
        <w:rPr>
          <w:rFonts w:ascii="Arial" w:eastAsia="Arial" w:hAnsi="Arial" w:cs="Arial"/>
          <w:sz w:val="24"/>
          <w:szCs w:val="24"/>
        </w:rPr>
      </w:pPr>
      <w:r>
        <w:rPr>
          <w:noProof/>
        </w:rPr>
        <mc:AlternateContent>
          <mc:Choice Requires="wps">
            <w:drawing>
              <wp:anchor distT="0" distB="0" distL="114300" distR="114300" simplePos="0" relativeHeight="251665408" behindDoc="0" locked="0" layoutInCell="1" hidden="0" allowOverlap="1" wp14:anchorId="52E4DEAB" wp14:editId="313F1DB7">
                <wp:simplePos x="0" y="0"/>
                <wp:positionH relativeFrom="column">
                  <wp:posOffset>1</wp:posOffset>
                </wp:positionH>
                <wp:positionV relativeFrom="paragraph">
                  <wp:posOffset>76200</wp:posOffset>
                </wp:positionV>
                <wp:extent cx="7133806" cy="399493"/>
                <wp:effectExtent l="0" t="0" r="0" b="0"/>
                <wp:wrapNone/>
                <wp:docPr id="18" name="Rectangle 18"/>
                <wp:cNvGraphicFramePr/>
                <a:graphic xmlns:a="http://schemas.openxmlformats.org/drawingml/2006/main">
                  <a:graphicData uri="http://schemas.microsoft.com/office/word/2010/wordprocessingShape">
                    <wps:wsp>
                      <wps:cNvSpPr/>
                      <wps:spPr>
                        <a:xfrm>
                          <a:off x="1783860" y="3589082"/>
                          <a:ext cx="7124281" cy="381837"/>
                        </a:xfrm>
                        <a:prstGeom prst="rect">
                          <a:avLst/>
                        </a:prstGeom>
                        <a:solidFill>
                          <a:srgbClr val="0075C9"/>
                        </a:solidFill>
                        <a:ln>
                          <a:noFill/>
                        </a:ln>
                      </wps:spPr>
                      <wps:txbx>
                        <w:txbxContent>
                          <w:p w14:paraId="37984C2B" w14:textId="77777777" w:rsidR="0086756F" w:rsidRDefault="00B61B13">
                            <w:pPr>
                              <w:jc w:val="center"/>
                              <w:textDirection w:val="btLr"/>
                            </w:pPr>
                            <w:r>
                              <w:rPr>
                                <w:rFonts w:ascii="Arial" w:eastAsia="Arial" w:hAnsi="Arial" w:cs="Arial"/>
                                <w:b/>
                                <w:color w:val="FFFFFF"/>
                                <w:sz w:val="24"/>
                              </w:rPr>
                              <w:t>Consultant Overview</w:t>
                            </w:r>
                          </w:p>
                        </w:txbxContent>
                      </wps:txbx>
                      <wps:bodyPr spcFirstLastPara="1" wrap="square" lIns="91425" tIns="45700" rIns="91425" bIns="45700" anchor="ctr" anchorCtr="0">
                        <a:noAutofit/>
                      </wps:bodyPr>
                    </wps:wsp>
                  </a:graphicData>
                </a:graphic>
              </wp:anchor>
            </w:drawing>
          </mc:Choice>
          <mc:Fallback>
            <w:pict>
              <v:rect w14:anchorId="52E4DEAB" id="Rectangle 18" o:spid="_x0000_s1036" style="position:absolute;margin-left:0;margin-top:6pt;width:561.7pt;height:3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" fillcolor="#0075c9" stroked="f">
                <v:textbox inset="2.53958mm,1.2694mm,2.53958mm,1.2694mm">
                  <w:txbxContent>
                    <w:p w14:paraId="37984C2B" w14:textId="77777777" w:rsidR="0086756F" w:rsidRDefault="00B61B13">
                      <w:pPr>
                        <w:jc w:val="center"/>
                        <w:textDirection w:val="btLr"/>
                      </w:pPr>
                      <w:r>
                        <w:rPr>
                          <w:rFonts w:ascii="Arial" w:eastAsia="Arial" w:hAnsi="Arial" w:cs="Arial"/>
                          <w:b/>
                          <w:color w:val="FFFFFF"/>
                          <w:sz w:val="24"/>
                        </w:rPr>
                        <w:t>Consultant Overview</w:t>
                      </w:r>
                    </w:p>
                  </w:txbxContent>
                </v:textbox>
              </v:rect>
            </w:pict>
          </mc:Fallback>
        </mc:AlternateContent>
      </w:r>
    </w:p>
    <w:p w14:paraId="7F097D16" w14:textId="77777777" w:rsidR="0086756F" w:rsidRDefault="0086756F">
      <w:pPr>
        <w:rPr>
          <w:rFonts w:ascii="Arial" w:eastAsia="Arial" w:hAnsi="Arial" w:cs="Arial"/>
          <w:sz w:val="24"/>
          <w:szCs w:val="24"/>
        </w:rPr>
      </w:pPr>
    </w:p>
    <w:p w14:paraId="2A10B0ED" w14:textId="77777777" w:rsidR="0086756F" w:rsidRDefault="00B61B13">
      <w:pPr>
        <w:spacing w:after="120"/>
        <w:ind w:left="361"/>
        <w:rPr>
          <w:rFonts w:ascii="Arial" w:eastAsia="Arial" w:hAnsi="Arial" w:cs="Arial"/>
          <w:sz w:val="24"/>
          <w:szCs w:val="24"/>
        </w:rPr>
      </w:pPr>
      <w:r>
        <w:rPr>
          <w:rFonts w:ascii="Arial" w:eastAsia="Arial" w:hAnsi="Arial" w:cs="Arial"/>
          <w:b/>
          <w:color w:val="FFFFFF"/>
          <w:sz w:val="24"/>
          <w:szCs w:val="24"/>
        </w:rPr>
        <w:t>Cost and Time: Recommendation and Justification</w:t>
      </w:r>
    </w:p>
    <w:p w14:paraId="5D60385B" w14:textId="77777777" w:rsidR="0086756F" w:rsidRDefault="00B61B13">
      <w:pPr>
        <w:widowControl/>
        <w:shd w:val="clear" w:color="auto" w:fill="FFFFFF"/>
        <w:rPr>
          <w:rFonts w:ascii="Arial" w:eastAsia="Arial" w:hAnsi="Arial" w:cs="Arial"/>
          <w:b/>
          <w:color w:val="0075C9"/>
          <w:sz w:val="24"/>
          <w:szCs w:val="24"/>
        </w:rPr>
      </w:pPr>
      <w:r>
        <w:rPr>
          <w:rFonts w:ascii="Arial" w:eastAsia="Arial" w:hAnsi="Arial" w:cs="Arial"/>
          <w:b/>
          <w:color w:val="0075C9"/>
          <w:sz w:val="24"/>
          <w:szCs w:val="24"/>
        </w:rPr>
        <w:t>Kelly Friedlander, MSW, MPA</w:t>
      </w:r>
    </w:p>
    <w:p w14:paraId="4F5EE71B" w14:textId="77777777" w:rsidR="0086756F" w:rsidRDefault="00B61B13">
      <w:pPr>
        <w:widowControl/>
        <w:shd w:val="clear" w:color="auto" w:fill="FFFFFF"/>
        <w:rPr>
          <w:rFonts w:ascii="Arial" w:eastAsia="Arial" w:hAnsi="Arial" w:cs="Arial"/>
          <w:sz w:val="24"/>
          <w:szCs w:val="24"/>
        </w:rPr>
      </w:pPr>
      <w:r>
        <w:rPr>
          <w:rFonts w:ascii="Arial" w:eastAsia="Arial" w:hAnsi="Arial" w:cs="Arial"/>
          <w:sz w:val="24"/>
          <w:szCs w:val="24"/>
        </w:rPr>
        <w:t>Kelly Friedlander is the Principal Consultant at Community Bridges Consulting Group. Kelly consults primarily on stakeholder engagement, advocacy, and developing innovative solutions to meet systems changes. A results-oriented, creative, and dedicated intellectual and developmental disability professional, Kelly has 15+ years of progressive responsibility in advocacy, policy analysis, and program development/ administration. She excels at facilitating outreach and cross-agency collaboration that empowers people with developmental disabilities and family members to be advocates and leaders. Kelly has a proven track record of supporting people with intellectual and developmental disabilities to live valued lives of their own design.</w:t>
      </w:r>
    </w:p>
    <w:p w14:paraId="06D4CDCE" w14:textId="77777777" w:rsidR="0086756F" w:rsidRDefault="00B61B13">
      <w:pPr>
        <w:widowControl/>
        <w:shd w:val="clear" w:color="auto" w:fill="FFFFFF"/>
        <w:rPr>
          <w:rFonts w:ascii="Arial" w:eastAsia="Arial" w:hAnsi="Arial" w:cs="Arial"/>
          <w:sz w:val="24"/>
          <w:szCs w:val="24"/>
        </w:rPr>
      </w:pPr>
      <w:r>
        <w:rPr>
          <w:rFonts w:ascii="Arial" w:eastAsia="Arial" w:hAnsi="Arial" w:cs="Arial"/>
          <w:sz w:val="24"/>
          <w:szCs w:val="24"/>
        </w:rPr>
        <w:t xml:space="preserve"> </w:t>
      </w:r>
    </w:p>
    <w:p w14:paraId="2CE806E4" w14:textId="77777777" w:rsidR="0086756F" w:rsidRDefault="00B61B13">
      <w:pPr>
        <w:widowControl/>
        <w:rPr>
          <w:rFonts w:ascii="Arial" w:eastAsia="Arial" w:hAnsi="Arial" w:cs="Arial"/>
          <w:sz w:val="24"/>
          <w:szCs w:val="24"/>
        </w:rPr>
      </w:pPr>
      <w:r>
        <w:rPr>
          <w:rFonts w:ascii="Arial" w:eastAsia="Arial" w:hAnsi="Arial" w:cs="Arial"/>
          <w:sz w:val="24"/>
          <w:szCs w:val="24"/>
        </w:rPr>
        <w:lastRenderedPageBreak/>
        <w:t>Kelly has served as a consultant for a variety of non-profit, for-profit, and governmental organizations, including:</w:t>
      </w:r>
    </w:p>
    <w:p w14:paraId="5C5D355D" w14:textId="77777777" w:rsidR="0086756F" w:rsidRDefault="0086756F">
      <w:pPr>
        <w:widowControl/>
        <w:rPr>
          <w:rFonts w:ascii="Arial" w:eastAsia="Arial" w:hAnsi="Arial" w:cs="Arial"/>
          <w:sz w:val="12"/>
          <w:szCs w:val="12"/>
        </w:rPr>
        <w:sectPr w:rsidR="0086756F">
          <w:type w:val="continuous"/>
          <w:pgSz w:w="12600" w:h="16200"/>
          <w:pgMar w:top="720" w:right="720" w:bottom="720" w:left="720" w:header="720" w:footer="720" w:gutter="0"/>
          <w:cols w:space="720"/>
        </w:sectPr>
      </w:pPr>
    </w:p>
    <w:p w14:paraId="7ED51722" w14:textId="77777777" w:rsidR="0086756F" w:rsidRDefault="00B61B13">
      <w:pPr>
        <w:widowControl/>
        <w:numPr>
          <w:ilvl w:val="0"/>
          <w:numId w:val="5"/>
        </w:numPr>
      </w:pPr>
      <w:r>
        <w:rPr>
          <w:rFonts w:ascii="Arial" w:eastAsia="Arial" w:hAnsi="Arial" w:cs="Arial"/>
          <w:sz w:val="24"/>
          <w:szCs w:val="24"/>
        </w:rPr>
        <w:t>UnitedHealthCare NC</w:t>
      </w:r>
    </w:p>
    <w:p w14:paraId="4FE57833" w14:textId="77777777" w:rsidR="0086756F" w:rsidRDefault="00B61B13">
      <w:pPr>
        <w:widowControl/>
        <w:numPr>
          <w:ilvl w:val="0"/>
          <w:numId w:val="5"/>
        </w:numPr>
      </w:pPr>
      <w:r>
        <w:rPr>
          <w:rFonts w:ascii="Arial" w:eastAsia="Arial" w:hAnsi="Arial" w:cs="Arial"/>
          <w:sz w:val="24"/>
          <w:szCs w:val="24"/>
        </w:rPr>
        <w:t>National Association of State Directors of Developmental Disabilities Services</w:t>
      </w:r>
    </w:p>
    <w:p w14:paraId="31411851" w14:textId="77777777" w:rsidR="0086756F" w:rsidRDefault="00B61B13">
      <w:pPr>
        <w:widowControl/>
        <w:numPr>
          <w:ilvl w:val="0"/>
          <w:numId w:val="5"/>
        </w:numPr>
      </w:pPr>
      <w:r>
        <w:rPr>
          <w:rFonts w:ascii="Arial" w:eastAsia="Arial" w:hAnsi="Arial" w:cs="Arial"/>
          <w:sz w:val="24"/>
          <w:szCs w:val="24"/>
        </w:rPr>
        <w:t>The National Leadership Consortium on Developmental Disabilities</w:t>
      </w:r>
    </w:p>
    <w:p w14:paraId="294EA276" w14:textId="77777777" w:rsidR="0086756F" w:rsidRDefault="00B61B13">
      <w:pPr>
        <w:widowControl/>
        <w:numPr>
          <w:ilvl w:val="0"/>
          <w:numId w:val="5"/>
        </w:numPr>
      </w:pPr>
      <w:r>
        <w:rPr>
          <w:rFonts w:ascii="Arial" w:eastAsia="Arial" w:hAnsi="Arial" w:cs="Arial"/>
          <w:sz w:val="24"/>
          <w:szCs w:val="24"/>
        </w:rPr>
        <w:t>RHA Health Services</w:t>
      </w:r>
    </w:p>
    <w:p w14:paraId="48BB43D6" w14:textId="77777777" w:rsidR="0086756F" w:rsidRDefault="00B61B13">
      <w:pPr>
        <w:widowControl/>
        <w:numPr>
          <w:ilvl w:val="0"/>
          <w:numId w:val="5"/>
        </w:numPr>
      </w:pPr>
      <w:r>
        <w:rPr>
          <w:rFonts w:ascii="Arial" w:eastAsia="Arial" w:hAnsi="Arial" w:cs="Arial"/>
          <w:sz w:val="24"/>
          <w:szCs w:val="24"/>
        </w:rPr>
        <w:t>First in Families NC</w:t>
      </w:r>
    </w:p>
    <w:p w14:paraId="532640B5" w14:textId="77777777" w:rsidR="0086756F" w:rsidRDefault="00B61B13">
      <w:pPr>
        <w:widowControl/>
        <w:numPr>
          <w:ilvl w:val="0"/>
          <w:numId w:val="5"/>
        </w:numPr>
      </w:pPr>
      <w:r>
        <w:rPr>
          <w:rFonts w:ascii="Arial" w:eastAsia="Arial" w:hAnsi="Arial" w:cs="Arial"/>
          <w:sz w:val="24"/>
          <w:szCs w:val="24"/>
        </w:rPr>
        <w:t>National Association of Councils on Developmental Disabilities</w:t>
      </w:r>
    </w:p>
    <w:p w14:paraId="7D8D4308" w14:textId="77777777" w:rsidR="0086756F" w:rsidRDefault="00B61B13">
      <w:pPr>
        <w:widowControl/>
        <w:numPr>
          <w:ilvl w:val="0"/>
          <w:numId w:val="5"/>
        </w:numPr>
      </w:pPr>
      <w:r>
        <w:rPr>
          <w:rFonts w:ascii="Arial" w:eastAsia="Arial" w:hAnsi="Arial" w:cs="Arial"/>
          <w:sz w:val="24"/>
          <w:szCs w:val="24"/>
        </w:rPr>
        <w:t>Anthem Healthcare</w:t>
      </w:r>
    </w:p>
    <w:p w14:paraId="2F517D99" w14:textId="77777777" w:rsidR="0086756F" w:rsidRDefault="00B61B13">
      <w:pPr>
        <w:widowControl/>
        <w:numPr>
          <w:ilvl w:val="0"/>
          <w:numId w:val="5"/>
        </w:numPr>
      </w:pPr>
      <w:r>
        <w:rPr>
          <w:rFonts w:ascii="Arial" w:eastAsia="Arial" w:hAnsi="Arial" w:cs="Arial"/>
          <w:sz w:val="24"/>
          <w:szCs w:val="24"/>
        </w:rPr>
        <w:t>Cardinal Innovations Healthcare</w:t>
      </w:r>
    </w:p>
    <w:p w14:paraId="644C1B70" w14:textId="77777777" w:rsidR="0086756F" w:rsidRDefault="00B61B13">
      <w:pPr>
        <w:widowControl/>
        <w:numPr>
          <w:ilvl w:val="0"/>
          <w:numId w:val="5"/>
        </w:numPr>
      </w:pPr>
      <w:r>
        <w:rPr>
          <w:rFonts w:ascii="Arial" w:eastAsia="Arial" w:hAnsi="Arial" w:cs="Arial"/>
          <w:sz w:val="24"/>
          <w:szCs w:val="24"/>
        </w:rPr>
        <w:t>Vaya Healthcare</w:t>
      </w:r>
    </w:p>
    <w:p w14:paraId="56C5951E" w14:textId="77777777" w:rsidR="0086756F" w:rsidRDefault="00B61B13">
      <w:pPr>
        <w:widowControl/>
        <w:numPr>
          <w:ilvl w:val="0"/>
          <w:numId w:val="5"/>
        </w:numPr>
      </w:pPr>
      <w:r>
        <w:rPr>
          <w:rFonts w:ascii="Arial" w:eastAsia="Arial" w:hAnsi="Arial" w:cs="Arial"/>
          <w:sz w:val="24"/>
          <w:szCs w:val="24"/>
        </w:rPr>
        <w:t>Bethesda Lutheran Communities</w:t>
      </w:r>
    </w:p>
    <w:p w14:paraId="74F67C48" w14:textId="77777777" w:rsidR="0086756F" w:rsidRDefault="00B61B13">
      <w:pPr>
        <w:widowControl/>
        <w:numPr>
          <w:ilvl w:val="0"/>
          <w:numId w:val="5"/>
        </w:numPr>
        <w:sectPr w:rsidR="0086756F">
          <w:type w:val="continuous"/>
          <w:pgSz w:w="12600" w:h="16200"/>
          <w:pgMar w:top="720" w:right="720" w:bottom="720" w:left="720" w:header="720" w:footer="720" w:gutter="0"/>
          <w:cols w:num="2" w:space="720" w:equalWidth="0">
            <w:col w:w="5220" w:space="720"/>
            <w:col w:w="5220" w:space="0"/>
          </w:cols>
        </w:sectPr>
      </w:pPr>
      <w:r>
        <w:rPr>
          <w:rFonts w:ascii="Arial" w:eastAsia="Arial" w:hAnsi="Arial" w:cs="Arial"/>
          <w:sz w:val="24"/>
          <w:szCs w:val="24"/>
        </w:rPr>
        <w:t>i2i Center for Integrative Health</w:t>
      </w:r>
    </w:p>
    <w:p w14:paraId="2F0AD4F0" w14:textId="77777777" w:rsidR="0086756F" w:rsidRDefault="0086756F">
      <w:pPr>
        <w:pBdr>
          <w:top w:val="nil"/>
          <w:left w:val="nil"/>
          <w:bottom w:val="nil"/>
          <w:right w:val="nil"/>
          <w:between w:val="nil"/>
        </w:pBdr>
        <w:spacing w:after="120"/>
        <w:rPr>
          <w:rFonts w:ascii="Arial" w:eastAsia="Arial" w:hAnsi="Arial" w:cs="Arial"/>
          <w:sz w:val="24"/>
          <w:szCs w:val="24"/>
        </w:rPr>
      </w:pPr>
    </w:p>
    <w:p w14:paraId="4D97BB8D" w14:textId="77777777" w:rsidR="0086756F" w:rsidRDefault="00B61B13">
      <w:pPr>
        <w:widowControl/>
        <w:rPr>
          <w:rFonts w:ascii="Arial" w:eastAsia="Arial" w:hAnsi="Arial" w:cs="Arial"/>
          <w:b/>
          <w:color w:val="0075C9"/>
          <w:sz w:val="24"/>
          <w:szCs w:val="24"/>
        </w:rPr>
      </w:pPr>
      <w:r>
        <w:rPr>
          <w:rFonts w:ascii="Arial" w:eastAsia="Arial" w:hAnsi="Arial" w:cs="Arial"/>
          <w:b/>
          <w:color w:val="0075C9"/>
          <w:sz w:val="24"/>
          <w:szCs w:val="24"/>
        </w:rPr>
        <w:t>Karen Luken, MSRA</w:t>
      </w:r>
    </w:p>
    <w:p w14:paraId="5102EB2F" w14:textId="77777777" w:rsidR="0086756F" w:rsidRDefault="00B61B13">
      <w:pPr>
        <w:widowControl/>
        <w:rPr>
          <w:rFonts w:ascii="Arial" w:eastAsia="Arial" w:hAnsi="Arial" w:cs="Arial"/>
          <w:sz w:val="24"/>
          <w:szCs w:val="24"/>
        </w:rPr>
      </w:pPr>
      <w:r>
        <w:rPr>
          <w:rFonts w:ascii="Arial" w:eastAsia="Arial" w:hAnsi="Arial" w:cs="Arial"/>
          <w:sz w:val="24"/>
          <w:szCs w:val="24"/>
        </w:rPr>
        <w:t xml:space="preserve">Karen Luken is a disability and health consultant with more than 40 years of experience in disability and health, recreational therapy, and grants management. From 2013 through 2020 she was the project director for the “Medical Health Homes for People with Intellectual and Developmental Disabilities” initiative that promotes integrated, person-centered care for people with I/DD and continues to serve as a member of the core planning team. Her interest in evidence-based practice, health care reform, and systems change was shaped by her work at the North Carolina Office on Disability and Health, Center for Recreation and Disability Studies at UNC-CH, NC Memorial Hospital, and Orange-Person-Chatham Area Program. Karen’s academic background is therapeutic recreation and public health. </w:t>
      </w:r>
    </w:p>
    <w:p w14:paraId="7805578B" w14:textId="77777777" w:rsidR="0086756F" w:rsidRDefault="0086756F">
      <w:pPr>
        <w:widowControl/>
        <w:ind w:left="360"/>
        <w:rPr>
          <w:rFonts w:ascii="Arial" w:eastAsia="Arial" w:hAnsi="Arial" w:cs="Arial"/>
          <w:sz w:val="24"/>
          <w:szCs w:val="24"/>
        </w:rPr>
      </w:pPr>
    </w:p>
    <w:p w14:paraId="7FFC57CB" w14:textId="77777777" w:rsidR="0086756F" w:rsidRDefault="00B61B13">
      <w:pPr>
        <w:widowControl/>
        <w:rPr>
          <w:rFonts w:ascii="Arial" w:eastAsia="Arial" w:hAnsi="Arial" w:cs="Arial"/>
          <w:sz w:val="24"/>
          <w:szCs w:val="24"/>
        </w:rPr>
      </w:pPr>
      <w:r>
        <w:rPr>
          <w:rFonts w:ascii="Arial" w:eastAsia="Arial" w:hAnsi="Arial" w:cs="Arial"/>
          <w:sz w:val="24"/>
          <w:szCs w:val="24"/>
        </w:rPr>
        <w:t>Karen has served as a consultant to a variety of organizations, including:</w:t>
      </w:r>
    </w:p>
    <w:p w14:paraId="0EC100F5" w14:textId="77777777" w:rsidR="0086756F" w:rsidRDefault="0086756F">
      <w:pPr>
        <w:widowControl/>
        <w:ind w:left="720" w:hanging="360"/>
        <w:rPr>
          <w:rFonts w:ascii="Arial" w:eastAsia="Arial" w:hAnsi="Arial" w:cs="Arial"/>
          <w:sz w:val="12"/>
          <w:szCs w:val="12"/>
        </w:rPr>
        <w:sectPr w:rsidR="0086756F">
          <w:type w:val="continuous"/>
          <w:pgSz w:w="12600" w:h="16200"/>
          <w:pgMar w:top="720" w:right="720" w:bottom="720" w:left="720" w:header="720" w:footer="720" w:gutter="0"/>
          <w:cols w:space="720"/>
        </w:sectPr>
      </w:pPr>
    </w:p>
    <w:p w14:paraId="1D4E745F" w14:textId="77777777" w:rsidR="0086756F" w:rsidRDefault="00B61B13">
      <w:pPr>
        <w:widowControl/>
        <w:numPr>
          <w:ilvl w:val="0"/>
          <w:numId w:val="2"/>
        </w:numPr>
        <w:rPr>
          <w:rFonts w:ascii="Arial" w:eastAsia="Arial" w:hAnsi="Arial" w:cs="Arial"/>
          <w:sz w:val="24"/>
          <w:szCs w:val="24"/>
        </w:rPr>
      </w:pPr>
      <w:r>
        <w:rPr>
          <w:rFonts w:ascii="Arial" w:eastAsia="Arial" w:hAnsi="Arial" w:cs="Arial"/>
          <w:sz w:val="24"/>
          <w:szCs w:val="24"/>
        </w:rPr>
        <w:t>The Arc of NC</w:t>
      </w:r>
    </w:p>
    <w:p w14:paraId="65D33148" w14:textId="77777777" w:rsidR="0086756F" w:rsidRDefault="00B61B13">
      <w:pPr>
        <w:widowControl/>
        <w:numPr>
          <w:ilvl w:val="0"/>
          <w:numId w:val="2"/>
        </w:numPr>
        <w:rPr>
          <w:rFonts w:ascii="Arial" w:eastAsia="Arial" w:hAnsi="Arial" w:cs="Arial"/>
          <w:sz w:val="24"/>
          <w:szCs w:val="24"/>
        </w:rPr>
      </w:pPr>
      <w:r>
        <w:rPr>
          <w:rFonts w:ascii="Arial" w:eastAsia="Arial" w:hAnsi="Arial" w:cs="Arial"/>
          <w:sz w:val="24"/>
          <w:szCs w:val="24"/>
        </w:rPr>
        <w:t>Autism Society of NC</w:t>
      </w:r>
    </w:p>
    <w:p w14:paraId="72169003" w14:textId="77777777" w:rsidR="0086756F" w:rsidRDefault="00B61B13">
      <w:pPr>
        <w:widowControl/>
        <w:numPr>
          <w:ilvl w:val="0"/>
          <w:numId w:val="2"/>
        </w:numPr>
        <w:rPr>
          <w:rFonts w:ascii="Arial" w:eastAsia="Arial" w:hAnsi="Arial" w:cs="Arial"/>
          <w:sz w:val="24"/>
          <w:szCs w:val="24"/>
        </w:rPr>
      </w:pPr>
      <w:r>
        <w:rPr>
          <w:rFonts w:ascii="Arial" w:eastAsia="Arial" w:hAnsi="Arial" w:cs="Arial"/>
          <w:sz w:val="24"/>
          <w:szCs w:val="24"/>
        </w:rPr>
        <w:t>Duke Health</w:t>
      </w:r>
    </w:p>
    <w:p w14:paraId="669FC2C4" w14:textId="77777777" w:rsidR="0086756F" w:rsidRDefault="00B61B13">
      <w:pPr>
        <w:widowControl/>
        <w:numPr>
          <w:ilvl w:val="0"/>
          <w:numId w:val="2"/>
        </w:numPr>
        <w:rPr>
          <w:rFonts w:ascii="Arial" w:eastAsia="Arial" w:hAnsi="Arial" w:cs="Arial"/>
          <w:sz w:val="24"/>
          <w:szCs w:val="24"/>
        </w:rPr>
      </w:pPr>
      <w:r>
        <w:rPr>
          <w:rFonts w:ascii="Arial" w:eastAsia="Arial" w:hAnsi="Arial" w:cs="Arial"/>
          <w:sz w:val="24"/>
          <w:szCs w:val="24"/>
        </w:rPr>
        <w:t>Vaya Health</w:t>
      </w:r>
    </w:p>
    <w:p w14:paraId="19FFC6D3" w14:textId="77777777" w:rsidR="0086756F" w:rsidRDefault="00B61B13">
      <w:pPr>
        <w:widowControl/>
        <w:numPr>
          <w:ilvl w:val="0"/>
          <w:numId w:val="2"/>
        </w:numPr>
        <w:rPr>
          <w:rFonts w:ascii="Arial" w:eastAsia="Arial" w:hAnsi="Arial" w:cs="Arial"/>
          <w:sz w:val="24"/>
          <w:szCs w:val="24"/>
        </w:rPr>
      </w:pPr>
      <w:r>
        <w:rPr>
          <w:rFonts w:ascii="Arial" w:eastAsia="Arial" w:hAnsi="Arial" w:cs="Arial"/>
          <w:sz w:val="24"/>
          <w:szCs w:val="24"/>
        </w:rPr>
        <w:t>NC Division of Public Health, Oral Health Section</w:t>
      </w:r>
    </w:p>
    <w:p w14:paraId="047B5C88" w14:textId="77777777" w:rsidR="0086756F" w:rsidRDefault="00B61B13">
      <w:pPr>
        <w:widowControl/>
        <w:numPr>
          <w:ilvl w:val="0"/>
          <w:numId w:val="2"/>
        </w:numPr>
        <w:rPr>
          <w:rFonts w:ascii="Arial" w:eastAsia="Arial" w:hAnsi="Arial" w:cs="Arial"/>
          <w:sz w:val="24"/>
          <w:szCs w:val="24"/>
        </w:rPr>
      </w:pPr>
      <w:r>
        <w:rPr>
          <w:rFonts w:ascii="Arial" w:eastAsia="Arial" w:hAnsi="Arial" w:cs="Arial"/>
          <w:sz w:val="24"/>
          <w:szCs w:val="24"/>
        </w:rPr>
        <w:t>NC AHEC</w:t>
      </w:r>
    </w:p>
    <w:p w14:paraId="0B9972A6" w14:textId="77777777" w:rsidR="0086756F" w:rsidRDefault="00B61B13">
      <w:pPr>
        <w:widowControl/>
        <w:numPr>
          <w:ilvl w:val="0"/>
          <w:numId w:val="2"/>
        </w:numPr>
        <w:rPr>
          <w:rFonts w:ascii="Arial" w:eastAsia="Arial" w:hAnsi="Arial" w:cs="Arial"/>
          <w:sz w:val="24"/>
          <w:szCs w:val="24"/>
        </w:rPr>
      </w:pPr>
      <w:r>
        <w:rPr>
          <w:rFonts w:ascii="Arial" w:eastAsia="Arial" w:hAnsi="Arial" w:cs="Arial"/>
          <w:sz w:val="24"/>
          <w:szCs w:val="24"/>
        </w:rPr>
        <w:t>NC Oral Health Collaborative</w:t>
      </w:r>
    </w:p>
    <w:p w14:paraId="18D00859" w14:textId="77777777" w:rsidR="0086756F" w:rsidRDefault="00B61B13">
      <w:pPr>
        <w:widowControl/>
        <w:numPr>
          <w:ilvl w:val="0"/>
          <w:numId w:val="2"/>
        </w:numPr>
        <w:rPr>
          <w:rFonts w:ascii="Arial" w:eastAsia="Arial" w:hAnsi="Arial" w:cs="Arial"/>
          <w:sz w:val="24"/>
          <w:szCs w:val="24"/>
        </w:rPr>
      </w:pPr>
      <w:r>
        <w:rPr>
          <w:rFonts w:ascii="Arial" w:eastAsia="Arial" w:hAnsi="Arial" w:cs="Arial"/>
          <w:sz w:val="24"/>
          <w:szCs w:val="24"/>
        </w:rPr>
        <w:t>National Center on Health, Physical Activity and Disability</w:t>
      </w:r>
    </w:p>
    <w:p w14:paraId="7FDD0117" w14:textId="77777777" w:rsidR="0086756F" w:rsidRDefault="00B61B13">
      <w:pPr>
        <w:widowControl/>
        <w:numPr>
          <w:ilvl w:val="0"/>
          <w:numId w:val="2"/>
        </w:numPr>
        <w:rPr>
          <w:rFonts w:ascii="Arial" w:eastAsia="Arial" w:hAnsi="Arial" w:cs="Arial"/>
          <w:sz w:val="24"/>
          <w:szCs w:val="24"/>
        </w:rPr>
        <w:sectPr w:rsidR="0086756F">
          <w:type w:val="continuous"/>
          <w:pgSz w:w="12600" w:h="16200"/>
          <w:pgMar w:top="720" w:right="720" w:bottom="720" w:left="720" w:header="720" w:footer="720" w:gutter="0"/>
          <w:cols w:num="2" w:space="720" w:equalWidth="0">
            <w:col w:w="5220" w:space="720"/>
            <w:col w:w="5220" w:space="0"/>
          </w:cols>
        </w:sectPr>
      </w:pPr>
      <w:r>
        <w:rPr>
          <w:rFonts w:ascii="Arial" w:eastAsia="Arial" w:hAnsi="Arial" w:cs="Arial"/>
          <w:sz w:val="24"/>
          <w:szCs w:val="24"/>
        </w:rPr>
        <w:t>Lurie Institute on Disability, Brandeis University</w:t>
      </w:r>
    </w:p>
    <w:p w14:paraId="5C7FC97D" w14:textId="77777777" w:rsidR="0086756F" w:rsidRDefault="0086756F">
      <w:pPr>
        <w:widowControl/>
        <w:ind w:left="360"/>
        <w:rPr>
          <w:rFonts w:ascii="Arial" w:eastAsia="Arial" w:hAnsi="Arial" w:cs="Arial"/>
          <w:sz w:val="24"/>
          <w:szCs w:val="24"/>
        </w:rPr>
      </w:pPr>
    </w:p>
    <w:p w14:paraId="2D619D3F" w14:textId="77777777" w:rsidR="0086756F" w:rsidRDefault="0086756F">
      <w:pPr>
        <w:pBdr>
          <w:top w:val="nil"/>
          <w:left w:val="nil"/>
          <w:bottom w:val="nil"/>
          <w:right w:val="nil"/>
          <w:between w:val="nil"/>
        </w:pBdr>
        <w:spacing w:after="120"/>
        <w:rPr>
          <w:rFonts w:ascii="Arial" w:eastAsia="Arial" w:hAnsi="Arial" w:cs="Arial"/>
          <w:sz w:val="24"/>
          <w:szCs w:val="24"/>
        </w:rPr>
      </w:pPr>
    </w:p>
    <w:sectPr w:rsidR="0086756F">
      <w:type w:val="continuous"/>
      <w:pgSz w:w="12600" w:h="1620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Gotham Light">
    <w:altName w:val="Calibri"/>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665"/>
    <w:multiLevelType w:val="multilevel"/>
    <w:tmpl w:val="C0AE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44FD7"/>
    <w:multiLevelType w:val="multilevel"/>
    <w:tmpl w:val="554EE1A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7321AE"/>
    <w:multiLevelType w:val="multilevel"/>
    <w:tmpl w:val="7BC00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274A9D"/>
    <w:multiLevelType w:val="multilevel"/>
    <w:tmpl w:val="5D0E7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FF0450"/>
    <w:multiLevelType w:val="multilevel"/>
    <w:tmpl w:val="1EF60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D22744"/>
    <w:multiLevelType w:val="multilevel"/>
    <w:tmpl w:val="38BCD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7C469A"/>
    <w:multiLevelType w:val="multilevel"/>
    <w:tmpl w:val="6DF86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F329EF"/>
    <w:multiLevelType w:val="multilevel"/>
    <w:tmpl w:val="F9B05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792B37"/>
    <w:multiLevelType w:val="multilevel"/>
    <w:tmpl w:val="38C8C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1029818">
    <w:abstractNumId w:val="4"/>
  </w:num>
  <w:num w:numId="2" w16cid:durableId="1552763858">
    <w:abstractNumId w:val="3"/>
  </w:num>
  <w:num w:numId="3" w16cid:durableId="220481054">
    <w:abstractNumId w:val="7"/>
  </w:num>
  <w:num w:numId="4" w16cid:durableId="1229076483">
    <w:abstractNumId w:val="2"/>
  </w:num>
  <w:num w:numId="5" w16cid:durableId="139350133">
    <w:abstractNumId w:val="5"/>
  </w:num>
  <w:num w:numId="6" w16cid:durableId="582181433">
    <w:abstractNumId w:val="0"/>
  </w:num>
  <w:num w:numId="7" w16cid:durableId="53237079">
    <w:abstractNumId w:val="8"/>
  </w:num>
  <w:num w:numId="8" w16cid:durableId="1981956352">
    <w:abstractNumId w:val="6"/>
  </w:num>
  <w:num w:numId="9" w16cid:durableId="1467776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6F"/>
    <w:rsid w:val="0016029E"/>
    <w:rsid w:val="001877B3"/>
    <w:rsid w:val="001C5021"/>
    <w:rsid w:val="00342A8B"/>
    <w:rsid w:val="005C346B"/>
    <w:rsid w:val="0086756F"/>
    <w:rsid w:val="0090764E"/>
    <w:rsid w:val="00A94D8F"/>
    <w:rsid w:val="00B27800"/>
    <w:rsid w:val="00B61B13"/>
    <w:rsid w:val="00BC7968"/>
    <w:rsid w:val="00C2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3C33"/>
  <w15:docId w15:val="{2513A14E-251B-4241-9C43-10718E6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86"/>
      <w:ind w:left="667"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A9038D"/>
  </w:style>
  <w:style w:type="paragraph" w:styleId="BalloonText">
    <w:name w:val="Balloon Text"/>
    <w:basedOn w:val="Normal"/>
    <w:link w:val="BalloonTextChar"/>
    <w:uiPriority w:val="99"/>
    <w:semiHidden/>
    <w:unhideWhenUsed/>
    <w:rsid w:val="00233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B91"/>
    <w:rPr>
      <w:rFonts w:ascii="Segoe UI" w:hAnsi="Segoe UI" w:cs="Segoe UI"/>
      <w:sz w:val="18"/>
      <w:szCs w:val="18"/>
    </w:rPr>
  </w:style>
  <w:style w:type="character" w:styleId="Hyperlink">
    <w:name w:val="Hyperlink"/>
    <w:basedOn w:val="DefaultParagraphFont"/>
    <w:uiPriority w:val="99"/>
    <w:unhideWhenUsed/>
    <w:rsid w:val="008A5A0C"/>
    <w:rPr>
      <w:color w:val="0000FF" w:themeColor="hyperlink"/>
      <w:u w:val="single"/>
    </w:rPr>
  </w:style>
  <w:style w:type="character" w:styleId="UnresolvedMention">
    <w:name w:val="Unresolved Mention"/>
    <w:basedOn w:val="DefaultParagraphFont"/>
    <w:uiPriority w:val="99"/>
    <w:semiHidden/>
    <w:unhideWhenUsed/>
    <w:rsid w:val="008A5A0C"/>
    <w:rPr>
      <w:color w:val="808080"/>
      <w:shd w:val="clear" w:color="auto" w:fill="E6E6E6"/>
    </w:rPr>
  </w:style>
  <w:style w:type="paragraph" w:styleId="Header">
    <w:name w:val="header"/>
    <w:basedOn w:val="Normal"/>
    <w:link w:val="HeaderChar"/>
    <w:uiPriority w:val="99"/>
    <w:unhideWhenUsed/>
    <w:rsid w:val="00746188"/>
    <w:pPr>
      <w:tabs>
        <w:tab w:val="center" w:pos="4680"/>
        <w:tab w:val="right" w:pos="9360"/>
      </w:tabs>
    </w:pPr>
  </w:style>
  <w:style w:type="character" w:customStyle="1" w:styleId="HeaderChar">
    <w:name w:val="Header Char"/>
    <w:basedOn w:val="DefaultParagraphFont"/>
    <w:link w:val="Header"/>
    <w:uiPriority w:val="99"/>
    <w:rsid w:val="00746188"/>
  </w:style>
  <w:style w:type="paragraph" w:styleId="Footer">
    <w:name w:val="footer"/>
    <w:basedOn w:val="Normal"/>
    <w:link w:val="FooterChar"/>
    <w:unhideWhenUsed/>
    <w:rsid w:val="00746188"/>
    <w:pPr>
      <w:tabs>
        <w:tab w:val="center" w:pos="4680"/>
        <w:tab w:val="right" w:pos="9360"/>
      </w:tabs>
    </w:pPr>
  </w:style>
  <w:style w:type="character" w:customStyle="1" w:styleId="FooterChar">
    <w:name w:val="Footer Char"/>
    <w:basedOn w:val="DefaultParagraphFont"/>
    <w:link w:val="Footer"/>
    <w:uiPriority w:val="99"/>
    <w:rsid w:val="00746188"/>
  </w:style>
  <w:style w:type="character" w:styleId="CommentReference">
    <w:name w:val="annotation reference"/>
    <w:basedOn w:val="DefaultParagraphFont"/>
    <w:uiPriority w:val="99"/>
    <w:semiHidden/>
    <w:unhideWhenUsed/>
    <w:rsid w:val="004A5BB0"/>
    <w:rPr>
      <w:sz w:val="16"/>
      <w:szCs w:val="16"/>
    </w:rPr>
  </w:style>
  <w:style w:type="paragraph" w:styleId="CommentText">
    <w:name w:val="annotation text"/>
    <w:basedOn w:val="Normal"/>
    <w:link w:val="CommentTextChar"/>
    <w:uiPriority w:val="99"/>
    <w:semiHidden/>
    <w:unhideWhenUsed/>
    <w:rsid w:val="004A5BB0"/>
    <w:rPr>
      <w:sz w:val="20"/>
      <w:szCs w:val="20"/>
    </w:rPr>
  </w:style>
  <w:style w:type="character" w:customStyle="1" w:styleId="CommentTextChar">
    <w:name w:val="Comment Text Char"/>
    <w:basedOn w:val="DefaultParagraphFont"/>
    <w:link w:val="CommentText"/>
    <w:uiPriority w:val="99"/>
    <w:semiHidden/>
    <w:rsid w:val="004A5BB0"/>
    <w:rPr>
      <w:sz w:val="20"/>
      <w:szCs w:val="20"/>
    </w:rPr>
  </w:style>
  <w:style w:type="paragraph" w:styleId="CommentSubject">
    <w:name w:val="annotation subject"/>
    <w:basedOn w:val="CommentText"/>
    <w:next w:val="CommentText"/>
    <w:link w:val="CommentSubjectChar"/>
    <w:uiPriority w:val="99"/>
    <w:semiHidden/>
    <w:unhideWhenUsed/>
    <w:rsid w:val="004A5BB0"/>
    <w:rPr>
      <w:b/>
      <w:bCs/>
    </w:rPr>
  </w:style>
  <w:style w:type="character" w:customStyle="1" w:styleId="CommentSubjectChar">
    <w:name w:val="Comment Subject Char"/>
    <w:basedOn w:val="CommentTextChar"/>
    <w:link w:val="CommentSubject"/>
    <w:uiPriority w:val="99"/>
    <w:semiHidden/>
    <w:rsid w:val="004A5BB0"/>
    <w:rPr>
      <w:b/>
      <w:bCs/>
      <w:sz w:val="20"/>
      <w:szCs w:val="20"/>
    </w:rPr>
  </w:style>
  <w:style w:type="paragraph" w:styleId="Revision">
    <w:name w:val="Revision"/>
    <w:hidden/>
    <w:uiPriority w:val="99"/>
    <w:semiHidden/>
    <w:rsid w:val="004A5BB0"/>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Glh+psbNYhFutTDbum/QzdFV5A==">AMUW2mWd9A3MdUlUUQEi9d8BM29s07WhJSYq2QeN7RWH1DkElStJIhS9fmJGgOtDJpXjAIHwv8pQ/C3GBZqGp2i3Je0pc3sIl2nmDm+/Z5l56DPle4TWPjM=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Travis</dc:creator>
  <cp:lastModifiedBy>White, Tamira</cp:lastModifiedBy>
  <cp:revision>2</cp:revision>
  <dcterms:created xsi:type="dcterms:W3CDTF">2022-05-06T20:56:00Z</dcterms:created>
  <dcterms:modified xsi:type="dcterms:W3CDTF">2022-05-06T20:56:00Z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LastSaved">
    <vt:filetime>2016-04-05T00:00:00Z</vt:filetime>
  </property>
</Properties>
</file>